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roxima Nova" w:cs="Proxima Nova" w:eastAsia="Proxima Nova" w:hAnsi="Proxima No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roxima Nova" w:cs="Proxima Nova" w:eastAsia="Proxima Nova" w:hAnsi="Proxima Nov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Proxima Nova" w:cs="Proxima Nova" w:eastAsia="Proxima Nova" w:hAnsi="Proxima Nova"/>
          <w:b w:val="1"/>
          <w:sz w:val="34"/>
          <w:szCs w:val="3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4"/>
          <w:szCs w:val="34"/>
          <w:rtl w:val="0"/>
        </w:rPr>
        <w:t xml:space="preserve">L’inclusion des femmes et des filles en situation de handicap dans les programmes de santé et d’égalité des genres</w:t>
      </w:r>
    </w:p>
    <w:p w:rsidR="00000000" w:rsidDel="00000000" w:rsidP="00000000" w:rsidRDefault="00000000" w:rsidRPr="00000000" w14:paraId="00000005">
      <w:pPr>
        <w:jc w:val="cente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Proxima Nova" w:cs="Proxima Nova" w:eastAsia="Proxima Nova" w:hAnsi="Proxima Nova"/>
          <w:b w:val="1"/>
          <w:color w:val="993365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993365"/>
          <w:sz w:val="28"/>
          <w:szCs w:val="28"/>
          <w:rtl w:val="0"/>
        </w:rPr>
        <w:t xml:space="preserve">Module de formation de base</w:t>
      </w:r>
    </w:p>
    <w:p w:rsidR="00000000" w:rsidDel="00000000" w:rsidP="00000000" w:rsidRDefault="00000000" w:rsidRPr="00000000" w14:paraId="00000007">
      <w:pPr>
        <w:jc w:val="center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5655"/>
        <w:gridCol w:w="2355"/>
        <w:gridCol w:w="1440"/>
        <w:tblGridChange w:id="0">
          <w:tblGrid>
            <w:gridCol w:w="1605"/>
            <w:gridCol w:w="5655"/>
            <w:gridCol w:w="2355"/>
            <w:gridCol w:w="1440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  <w:shd w:fill="f9d380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Webinaire 1 :  </w:t>
            </w:r>
          </w:p>
          <w:p w:rsidR="00000000" w:rsidDel="00000000" w:rsidP="00000000" w:rsidRDefault="00000000" w:rsidRPr="00000000" w14:paraId="00000009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Durée de 4 heures</w:t>
            </w:r>
          </w:p>
          <w:p w:rsidR="00000000" w:rsidDel="00000000" w:rsidP="00000000" w:rsidRDefault="00000000" w:rsidRPr="00000000" w14:paraId="0000000A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  <w:rtl w:val="0"/>
              </w:rPr>
              <w:t xml:space="preserve">Sujet</w:t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  <w:rtl w:val="0"/>
              </w:rPr>
              <w:t xml:space="preserve">Méthodologie</w:t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  <w:rtl w:val="0"/>
              </w:rPr>
              <w:t xml:space="preserve">Durée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Bienvenue et présentation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15 minutes</w:t>
            </w:r>
          </w:p>
        </w:tc>
      </w:tr>
      <w:tr>
        <w:trPr>
          <w:cantSplit w:val="0"/>
          <w:trHeight w:val="1872.0000000000002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80" w:lineRule="auto"/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Comprendre le handicap : </w:t>
            </w:r>
          </w:p>
          <w:p w:rsidR="00000000" w:rsidDel="00000000" w:rsidP="00000000" w:rsidRDefault="00000000" w:rsidRPr="00000000" w14:paraId="00000015">
            <w:pPr>
              <w:spacing w:after="80" w:lineRule="auto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Expliquer les trois principaux modèles conceptuels du handicap; identifier celui qui est à la base des programmes fondés sur les droits de la personne qui cherchent à favoriser l’inclusion des personnes en situation de handicap.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Diapositives et exercices de la présentation PowerPoint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45 minutes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Pause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15 minutes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80" w:lineRule="auto"/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Intersectionnalité :</w:t>
            </w:r>
          </w:p>
          <w:p w:rsidR="00000000" w:rsidDel="00000000" w:rsidP="00000000" w:rsidRDefault="00000000" w:rsidRPr="00000000" w14:paraId="0000001F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Explorer l’impact du handicap, du genre et de l’âge tout au long du cycle de vie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Exercice de groupe interactif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60 minutes</w:t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Pause</w:t>
            </w: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15 minutes</w:t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80" w:lineRule="auto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Analyse des obstacles et des dynamiques de pouvoir </w:t>
            </w: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Les principes clés qui aideront à aborder le handicap dans tous les secteurs, dont la santé et la SDSR.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Diapositives de la présentation PowerPoint et travail en groupe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90 minutes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Lecture suggérée aux participant·es entre les deux webinaires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~ 1 heure</w:t>
            </w:r>
          </w:p>
        </w:tc>
      </w:tr>
      <w:tr>
        <w:trPr>
          <w:cantSplit w:val="0"/>
          <w:trHeight w:val="117.978515625" w:hRule="atLeast"/>
          <w:tblHeader w:val="0"/>
        </w:trPr>
        <w:tc>
          <w:tcPr>
            <w:gridSpan w:val="4"/>
            <w:tcBorders>
              <w:lef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left w:color="ffffff" w:space="2" w:sz="0" w:val="none"/>
                <w:right w:color="ffffff" w:space="2" w:sz="0" w:val="none"/>
              </w:pBdr>
              <w:jc w:val="center"/>
              <w:rPr>
                <w:rFonts w:ascii="Proxima Nova" w:cs="Proxima Nova" w:eastAsia="Proxima Nova" w:hAnsi="Proxima Nov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f9d380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Webinar 2: </w:t>
            </w:r>
          </w:p>
          <w:p w:rsidR="00000000" w:rsidDel="00000000" w:rsidP="00000000" w:rsidRDefault="00000000" w:rsidRPr="00000000" w14:paraId="00000034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4 hours total</w:t>
            </w:r>
          </w:p>
          <w:p w:rsidR="00000000" w:rsidDel="00000000" w:rsidP="00000000" w:rsidRDefault="00000000" w:rsidRPr="00000000" w14:paraId="00000035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  <w:rtl w:val="0"/>
              </w:rPr>
              <w:t xml:space="preserve">Sujet</w:t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  <w:rtl w:val="0"/>
              </w:rPr>
              <w:t xml:space="preserve">Méthodologie</w:t>
            </w:r>
          </w:p>
        </w:tc>
        <w:tc>
          <w:tcPr>
            <w:shd w:fill="491a36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  <w:rtl w:val="0"/>
              </w:rPr>
              <w:t xml:space="preserve">Durée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Convention relative aux droits des personnes handicapées des Nations Unies (CDPH) :</w:t>
            </w:r>
          </w:p>
          <w:p w:rsidR="00000000" w:rsidDel="00000000" w:rsidP="00000000" w:rsidRDefault="00000000" w:rsidRPr="00000000" w14:paraId="0000003C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Brève introduction; son importance dans les domaines de la santé et de la SDSR.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Diapositives de la présentation PowerPoint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20 minutes</w:t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Piliers de l’inclusion des personnes en situation de handicap 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Accessibilité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SÉRA des données (ventilation), résultats et indicateurs; introduction aux questions du Groupe de Washington.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Partenariats/collaboration avec des organisations de personnes en situation de handicap (OPH).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Participation</w:t>
            </w:r>
          </w:p>
          <w:p w:rsidR="00000000" w:rsidDel="00000000" w:rsidP="00000000" w:rsidRDefault="00000000" w:rsidRPr="00000000" w14:paraId="00000046">
            <w:pPr>
              <w:rPr>
                <w:rFonts w:ascii="Proxima Nova" w:cs="Proxima Nova" w:eastAsia="Proxima Nova" w:hAnsi="Proxima Nov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Exemples tirés de programmes de santé et de SDSR.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Diapositives de la présentation PowerPoint; discussion; travail en groupe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130 minutes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18"/>
                <w:szCs w:val="18"/>
                <w:rtl w:val="0"/>
              </w:rPr>
              <w:t xml:space="preserve">réparties entre les divers éléments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Pause</w:t>
            </w: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Proxima Nova" w:cs="Proxima Nova" w:eastAsia="Proxima Nova" w:hAnsi="Proxima Nova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30 minutes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18"/>
                <w:szCs w:val="18"/>
                <w:rtl w:val="0"/>
              </w:rPr>
              <w:t xml:space="preserve">en cours de séance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Résume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Exercice et discussion en grand group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30 minutes</w:t>
            </w:r>
          </w:p>
        </w:tc>
      </w:tr>
      <w:tr>
        <w:trPr>
          <w:cantSplit w:val="0"/>
          <w:trHeight w:val="415.957031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Questions</w:t>
            </w: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Discussion ouverte en grand groupe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.9140625" w:hRule="atLeast"/>
          <w:tblHeader w:val="0"/>
        </w:trPr>
        <w:tc>
          <w:tcPr>
            <w:vMerge w:val="continue"/>
            <w:shd w:fill="f9d380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Conclusion de la formation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Derniers commentaires; </w:t>
            </w:r>
          </w:p>
          <w:p w:rsidR="00000000" w:rsidDel="00000000" w:rsidP="00000000" w:rsidRDefault="00000000" w:rsidRPr="00000000" w14:paraId="0000005A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prochaines étapes/actions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36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Proxima Nov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-61910</wp:posOffset>
              </wp:positionH>
              <wp:positionV relativeFrom="page">
                <wp:posOffset>-36192</wp:posOffset>
              </wp:positionV>
              <wp:extent cx="7897971" cy="1102043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96925" y="3228950"/>
                        <a:ext cx="7897971" cy="1102043"/>
                        <a:chOff x="1396925" y="3228950"/>
                        <a:chExt cx="7898150" cy="1102100"/>
                      </a:xfrm>
                    </wpg:grpSpPr>
                    <wpg:grpSp>
                      <wpg:cNvGrpSpPr/>
                      <wpg:grpSpPr>
                        <a:xfrm>
                          <a:off x="1397015" y="3228979"/>
                          <a:ext cx="7897971" cy="1102043"/>
                          <a:chOff x="1239100" y="3225075"/>
                          <a:chExt cx="8056075" cy="11061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239100" y="3225075"/>
                            <a:ext cx="8056075" cy="110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243885" y="3228979"/>
                            <a:ext cx="8051101" cy="1102043"/>
                            <a:chOff x="-159400" y="0"/>
                            <a:chExt cx="8380775" cy="11465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8221375" cy="1146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159400" y="900"/>
                              <a:ext cx="8376000" cy="1140900"/>
                            </a:xfrm>
                            <a:prstGeom prst="rect">
                              <a:avLst/>
                            </a:prstGeom>
                            <a:solidFill>
                              <a:srgbClr val="491A36"/>
                            </a:solidFill>
                            <a:ln cap="flat" cmpd="sng" w="9525">
                              <a:solidFill>
                                <a:srgbClr val="491A3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063663" y="250413"/>
                              <a:ext cx="3929876" cy="641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-61910</wp:posOffset>
              </wp:positionH>
              <wp:positionV relativeFrom="page">
                <wp:posOffset>-36192</wp:posOffset>
              </wp:positionV>
              <wp:extent cx="7897971" cy="1102043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97971" cy="11020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69E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69E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69E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69E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069E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69E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69E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69E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69E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69E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69E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69E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069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069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69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69E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69E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69E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69E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69E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69EC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6069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roximaNova-regular.ttf"/><Relationship Id="rId4" Type="http://schemas.openxmlformats.org/officeDocument/2006/relationships/font" Target="fonts/ProximaNova-bold.ttf"/><Relationship Id="rId5" Type="http://schemas.openxmlformats.org/officeDocument/2006/relationships/font" Target="fonts/ProximaNova-italic.ttf"/><Relationship Id="rId6" Type="http://schemas.openxmlformats.org/officeDocument/2006/relationships/font" Target="fonts/ProximaNova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xyRAIZapTvD0iGklw5b8peAvuQ==">CgMxLjA4AHIhMTFHd2tRYU5hOFFkZC1WN1kxYkJuMnVlTnRCcElqLWJF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2025-05-13T13:46:00Z</dcterms:created>
  <dc:creator>Sue Coe</dc:creator>
</cp:coreProperties>
</file>