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roxima Nova" w:cs="Proxima Nova" w:eastAsia="Proxima Nova" w:hAnsi="Proxima Nova"/>
          <w:b w:val="1"/>
          <w:bCs w:val="1"/>
          <w:sz w:val="36"/>
          <w:szCs w:val="36"/>
        </w:rPr>
      </w:pPr>
      <w:r w:rsidDel="00000000" w:rsidR="00000000" w:rsidRPr="00000000">
        <w:rPr>
          <w:rtl w:val="0"/>
        </w:rPr>
      </w:r>
    </w:p>
    <w:p w:rsidR="00000000" w:rsidDel="00000000" w:rsidP="00000000" w:rsidRDefault="00000000" w:rsidRPr="00000000" w14:paraId="00000002">
      <w:pPr>
        <w:jc w:val="center"/>
        <w:rPr>
          <w:rFonts w:ascii="Proxima Nova" w:cs="Proxima Nova" w:eastAsia="Proxima Nova" w:hAnsi="Proxima Nova"/>
          <w:b w:val="1"/>
          <w:bCs w:val="1"/>
          <w:sz w:val="36"/>
          <w:szCs w:val="36"/>
        </w:rPr>
      </w:pPr>
      <w:r w:rsidDel="00000000" w:rsidR="00000000" w:rsidRPr="00000000">
        <w:rPr>
          <w:rtl w:val="0"/>
        </w:rPr>
      </w:r>
    </w:p>
    <w:p w:rsidR="00000000" w:rsidDel="00000000" w:rsidP="00000000" w:rsidRDefault="00000000" w:rsidRPr="00000000" w14:paraId="00000003">
      <w:pPr>
        <w:jc w:val="center"/>
        <w:rPr>
          <w:rFonts w:ascii="Proxima Nova" w:cs="Proxima Nova" w:eastAsia="Proxima Nova" w:hAnsi="Proxima Nova"/>
          <w:b w:val="1"/>
          <w:bCs w:val="1"/>
          <w:sz w:val="36"/>
          <w:szCs w:val="36"/>
        </w:rPr>
      </w:pPr>
      <w:r w:rsidDel="00000000" w:rsidR="00000000" w:rsidRPr="00000000">
        <w:rPr>
          <w:rtl w:val="0"/>
        </w:rPr>
      </w:r>
    </w:p>
    <w:p w:rsidR="00000000" w:rsidDel="00000000" w:rsidP="00000000" w:rsidRDefault="00000000" w:rsidRPr="00000000" w14:paraId="00000004">
      <w:pPr>
        <w:jc w:val="center"/>
        <w:rPr>
          <w:rFonts w:ascii="Proxima Nova" w:cs="Proxima Nova" w:eastAsia="Proxima Nova" w:hAnsi="Proxima Nova"/>
          <w:b w:val="1"/>
          <w:bCs w:val="1"/>
          <w:sz w:val="36"/>
          <w:szCs w:val="36"/>
        </w:rPr>
      </w:pPr>
      <w:r w:rsidDel="00000000" w:rsidR="00000000" w:rsidRPr="00000000">
        <w:rPr>
          <w:rFonts w:ascii="Proxima Nova" w:cs="Proxima Nova" w:eastAsia="Proxima Nova" w:hAnsi="Proxima Nova"/>
          <w:b w:val="1"/>
          <w:bCs w:val="1"/>
          <w:sz w:val="36"/>
          <w:szCs w:val="36"/>
          <w:rtl w:val="0"/>
        </w:rPr>
        <w:t xml:space="preserve">L’inclusion des femmes et des filles en situation de handicap dans les programmes de santé et d’égalité des genres</w:t>
      </w:r>
    </w:p>
    <w:p w:rsidR="00000000" w:rsidDel="00000000" w:rsidP="00000000" w:rsidRDefault="00000000" w:rsidRPr="00000000" w14:paraId="0000000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6">
      <w:pPr>
        <w:jc w:val="center"/>
        <w:rPr>
          <w:rFonts w:ascii="Proxima Nova" w:cs="Proxima Nova" w:eastAsia="Proxima Nova" w:hAnsi="Proxima Nova"/>
          <w:b w:val="1"/>
          <w:bCs w:val="1"/>
          <w:color w:val="993365"/>
          <w:sz w:val="22"/>
          <w:szCs w:val="22"/>
        </w:rPr>
      </w:pPr>
      <w:r w:rsidDel="00000000" w:rsidR="00000000" w:rsidRPr="00000000">
        <w:rPr>
          <w:rFonts w:ascii="Proxima Nova" w:cs="Proxima Nova" w:eastAsia="Proxima Nova" w:hAnsi="Proxima Nova"/>
          <w:b w:val="1"/>
          <w:bCs w:val="1"/>
          <w:color w:val="993365"/>
          <w:sz w:val="22"/>
          <w:szCs w:val="22"/>
          <w:rtl w:val="0"/>
        </w:rPr>
        <w:t xml:space="preserve">Guide d'accompagnement - Webinaire 1</w:t>
      </w:r>
    </w:p>
    <w:p w:rsidR="00000000" w:rsidDel="00000000" w:rsidP="00000000" w:rsidRDefault="00000000" w:rsidRPr="00000000" w14:paraId="00000007">
      <w:pPr>
        <w:pStyle w:val="Heading1"/>
        <w:pBdr>
          <w:bottom w:space="0" w:sz="0" w:val="nil"/>
        </w:pBdr>
        <w:shd w:fill="auto" w:val="clear"/>
        <w:jc w:val="center"/>
        <w:rPr>
          <w:rFonts w:ascii="Proxima Nova" w:cs="Proxima Nova" w:eastAsia="Proxima Nova" w:hAnsi="Proxima Nova"/>
          <w:vertAlign w:val="superscript"/>
        </w:rPr>
      </w:pPr>
      <w:bookmarkStart w:colFirst="0" w:colLast="0" w:name="_heading=h.d4ve41s8v8e0" w:id="0"/>
      <w:bookmarkEnd w:id="0"/>
      <w:r w:rsidDel="00000000" w:rsidR="00000000" w:rsidRPr="00000000">
        <w:rPr>
          <w:rFonts w:ascii="Proxima Nova" w:cs="Proxima Nova" w:eastAsia="Proxima Nova" w:hAnsi="Proxima Nova"/>
          <w:rtl w:val="0"/>
        </w:rPr>
        <w:t xml:space="preserve">PILIERS DE L’INCLUSION DES PERSONNES EN SITUATION DE HANDICAP</w:t>
      </w:r>
      <w:r w:rsidDel="00000000" w:rsidR="00000000" w:rsidRPr="00000000">
        <w:rPr>
          <w:rFonts w:ascii="Proxima Nova" w:cs="Proxima Nova" w:eastAsia="Proxima Nova" w:hAnsi="Proxima Nova"/>
          <w:vertAlign w:val="superscript"/>
        </w:rPr>
        <w:footnoteReference w:customMarkFollows="0" w:id="0"/>
      </w:r>
      <w:r w:rsidDel="00000000" w:rsidR="00000000" w:rsidRPr="00000000">
        <w:rPr>
          <w:rtl w:val="0"/>
        </w:rPr>
      </w:r>
    </w:p>
    <w:p w:rsidR="00000000" w:rsidDel="00000000" w:rsidP="00000000" w:rsidRDefault="00000000" w:rsidRPr="00000000" w14:paraId="00000008">
      <w:pPr>
        <w:spacing w:before="160" w:lineRule="auto"/>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09">
      <w:pPr>
        <w:spacing w:before="160" w:lineRule="auto"/>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Ce document porte sur les piliers de l’inclusion des personnes en situation de handicap dans les programmes de développement et d’aide humanitaire. Il n’y a pas de hiérarchie entre les différents piliers. Ils sont tout aussi importants les uns que les autres et sont souvent interreliés.</w:t>
      </w:r>
    </w:p>
    <w:p w:rsidR="00000000" w:rsidDel="00000000" w:rsidP="00000000" w:rsidRDefault="00000000" w:rsidRPr="00000000" w14:paraId="0000000A">
      <w:pPr>
        <w:rPr>
          <w:rFonts w:ascii="Proxima Nova" w:cs="Proxima Nova" w:eastAsia="Proxima Nova" w:hAnsi="Proxima Nova"/>
          <w:b w:val="1"/>
          <w:bCs w:val="1"/>
          <w:color w:val="c00000"/>
          <w:sz w:val="40"/>
          <w:szCs w:val="40"/>
        </w:rPr>
      </w:pPr>
      <w:r w:rsidDel="00000000" w:rsidR="00000000" w:rsidRPr="00000000">
        <w:rPr>
          <w:rtl w:val="0"/>
        </w:rPr>
      </w:r>
    </w:p>
    <w:p w:rsidR="00000000" w:rsidDel="00000000" w:rsidP="00000000" w:rsidRDefault="00000000" w:rsidRPr="00000000" w14:paraId="0000000B">
      <w:pPr>
        <w:jc w:val="cente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C">
      <w:pPr>
        <w:rPr>
          <w:rFonts w:ascii="Proxima Nova" w:cs="Proxima Nova" w:eastAsia="Proxima Nova" w:hAnsi="Proxima Nova"/>
          <w:b w:val="1"/>
          <w:bCs w:val="1"/>
          <w:color w:val="c00000"/>
          <w:sz w:val="40"/>
          <w:szCs w:val="40"/>
        </w:rPr>
      </w:pPr>
      <w:r w:rsidDel="00000000" w:rsidR="00000000" w:rsidRPr="00000000">
        <w:rPr>
          <w:rFonts w:ascii="Proxima Nova" w:cs="Proxima Nova" w:eastAsia="Proxima Nova" w:hAnsi="Proxima Nova"/>
          <w:b w:val="1"/>
          <w:bCs w:val="1"/>
          <w:color w:val="c00000"/>
          <w:sz w:val="40"/>
          <w:szCs w:val="40"/>
        </w:rPr>
        <mc:AlternateContent>
          <mc:Choice Requires="wpg">
            <w:drawing>
              <wp:inline distB="114300" distT="114300" distL="114300" distR="114300">
                <wp:extent cx="6072188" cy="2882482"/>
                <wp:effectExtent b="0" l="0" r="0" t="0"/>
                <wp:docPr id="2060985734" name=""/>
                <a:graphic>
                  <a:graphicData uri="http://schemas.microsoft.com/office/word/2010/wordprocessingGroup">
                    <wpg:wgp>
                      <wpg:cNvGrpSpPr/>
                      <wpg:grpSpPr>
                        <a:xfrm>
                          <a:off x="1719575" y="1342725"/>
                          <a:ext cx="6072188" cy="2882482"/>
                          <a:chOff x="1719575" y="1342725"/>
                          <a:chExt cx="7583375" cy="3697575"/>
                        </a:xfrm>
                      </wpg:grpSpPr>
                      <wpg:grpSp>
                        <wpg:cNvGrpSpPr/>
                        <wpg:grpSpPr>
                          <a:xfrm>
                            <a:off x="1722364" y="1352866"/>
                            <a:ext cx="7806761" cy="3697779"/>
                            <a:chOff x="1344403" y="3355923"/>
                            <a:chExt cx="13133851" cy="6605535"/>
                          </a:xfrm>
                        </wpg:grpSpPr>
                        <wps:wsp>
                          <wps:cNvSpPr/>
                          <wps:cNvPr id="3" name="Shape 3"/>
                          <wps:spPr>
                            <a:xfrm rot="6449933">
                              <a:off x="4558214" y="2732060"/>
                              <a:ext cx="3199672" cy="6147628"/>
                            </a:xfrm>
                            <a:prstGeom prst="trapezoid">
                              <a:avLst>
                                <a:gd fmla="val 38512" name="adj"/>
                              </a:avLst>
                            </a:prstGeom>
                            <a:solidFill>
                              <a:srgbClr val="FFFFFF"/>
                            </a:solidFill>
                            <a:ln cap="flat" cmpd="sng" w="14200">
                              <a:solidFill>
                                <a:srgbClr val="4472C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17025" lIns="34075" spcFirstLastPara="1" rIns="34075" wrap="square" tIns="17025">
                            <a:noAutofit/>
                          </wps:bodyPr>
                        </wps:wsp>
                        <wps:wsp>
                          <wps:cNvSpPr/>
                          <wps:cNvPr id="4" name="Shape 4"/>
                          <wps:spPr>
                            <a:xfrm rot="4286224">
                              <a:off x="11724878" y="5307451"/>
                              <a:ext cx="2420951" cy="2442202"/>
                            </a:xfrm>
                            <a:prstGeom prst="pentagon">
                              <a:avLst>
                                <a:gd fmla="val 105146" name="hf"/>
                                <a:gd fmla="val 110557" name="vf"/>
                              </a:avLst>
                            </a:prstGeom>
                            <a:solidFill>
                              <a:srgbClr val="6FA8DC"/>
                            </a:solidFill>
                            <a:ln cap="flat" cmpd="sng" w="4725">
                              <a:solidFill>
                                <a:srgbClr val="3A488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17025" lIns="34075" spcFirstLastPara="1" rIns="34075" wrap="square" tIns="17025">
                            <a:noAutofit/>
                          </wps:bodyPr>
                        </wps:wsp>
                        <wps:wsp>
                          <wps:cNvSpPr/>
                          <wps:cNvPr id="5" name="Shape 5"/>
                          <wps:spPr>
                            <a:xfrm rot="169413">
                              <a:off x="10725811" y="7598313"/>
                              <a:ext cx="2429950" cy="2304692"/>
                            </a:xfrm>
                            <a:prstGeom prst="pentagon">
                              <a:avLst>
                                <a:gd fmla="val 105146" name="hf"/>
                                <a:gd fmla="val 110557" name="vf"/>
                              </a:avLst>
                            </a:prstGeom>
                            <a:solidFill>
                              <a:srgbClr val="3D85C6"/>
                            </a:solidFill>
                            <a:ln cap="flat" cmpd="sng" w="4725">
                              <a:solidFill>
                                <a:srgbClr val="3A488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17025" lIns="34075" spcFirstLastPara="1" rIns="34075" wrap="square" tIns="17025">
                            <a:noAutofit/>
                          </wps:bodyPr>
                        </wps:wsp>
                        <wps:wsp>
                          <wps:cNvSpPr/>
                          <wps:cNvPr id="6" name="Shape 6"/>
                          <wps:spPr>
                            <a:xfrm>
                              <a:off x="8381788" y="7542795"/>
                              <a:ext cx="2420400" cy="2377500"/>
                            </a:xfrm>
                            <a:prstGeom prst="pentagon">
                              <a:avLst>
                                <a:gd fmla="val 105146" name="hf"/>
                                <a:gd fmla="val 110557" name="vf"/>
                              </a:avLst>
                            </a:prstGeom>
                            <a:solidFill>
                              <a:srgbClr val="D5A6BD"/>
                            </a:solidFill>
                            <a:ln cap="flat" cmpd="sng" w="4725">
                              <a:solidFill>
                                <a:srgbClr val="3A488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17025" lIns="34075" spcFirstLastPara="1" rIns="34075" wrap="square" tIns="17025">
                            <a:noAutofit/>
                          </wps:bodyPr>
                        </wps:wsp>
                        <wps:wsp>
                          <wps:cNvSpPr/>
                          <wps:cNvPr id="7" name="Shape 7"/>
                          <wps:spPr>
                            <a:xfrm>
                              <a:off x="9456444" y="3768365"/>
                              <a:ext cx="2555400" cy="2421600"/>
                            </a:xfrm>
                            <a:prstGeom prst="pentagon">
                              <a:avLst>
                                <a:gd fmla="val 105146" name="hf"/>
                                <a:gd fmla="val 110557" name="vf"/>
                              </a:avLst>
                            </a:prstGeom>
                            <a:solidFill>
                              <a:srgbClr val="9CC2E5"/>
                            </a:solidFill>
                            <a:ln cap="flat" cmpd="sng" w="4725">
                              <a:solidFill>
                                <a:srgbClr val="3A488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17025" lIns="34075" spcFirstLastPara="1" rIns="34075" wrap="square" tIns="17025">
                            <a:noAutofit/>
                          </wps:bodyPr>
                        </wps:wsp>
                        <wps:wsp>
                          <wps:cNvSpPr/>
                          <wps:cNvPr id="8" name="Shape 8"/>
                          <wps:spPr>
                            <a:xfrm rot="10800000">
                              <a:off x="9468737" y="6203376"/>
                              <a:ext cx="2543100" cy="2292600"/>
                            </a:xfrm>
                            <a:prstGeom prst="pentagon">
                              <a:avLst>
                                <a:gd fmla="val 105146" name="hf"/>
                                <a:gd fmla="val 110557" name="vf"/>
                              </a:avLst>
                            </a:prstGeom>
                            <a:solidFill>
                              <a:srgbClr val="3A4888"/>
                            </a:solidFill>
                            <a:ln cap="flat" cmpd="sng" w="4725">
                              <a:solidFill>
                                <a:srgbClr val="3A488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17025" lIns="34075" spcFirstLastPara="1" rIns="34075" wrap="square" tIns="17025">
                            <a:noAutofit/>
                          </wps:bodyPr>
                        </wps:wsp>
                        <wps:wsp>
                          <wps:cNvSpPr txBox="1"/>
                          <wps:cNvPr id="9" name="Shape 9"/>
                          <wps:spPr>
                            <a:xfrm>
                              <a:off x="9723295" y="4647132"/>
                              <a:ext cx="2034000" cy="379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roxima Nova" w:cs="Proxima Nova" w:eastAsia="Proxima Nova" w:hAnsi="Proxima Nova"/>
                                    <w:b w:val="0"/>
                                    <w:i w:val="0"/>
                                    <w:smallCaps w:val="0"/>
                                    <w:strike w:val="0"/>
                                    <w:color w:val="000000"/>
                                    <w:sz w:val="23.1156005859375"/>
                                    <w:vertAlign w:val="baseline"/>
                                  </w:rPr>
                                  <w:t xml:space="preserve">Budget</w:t>
                                </w:r>
                              </w:p>
                            </w:txbxContent>
                          </wps:txbx>
                          <wps:bodyPr anchorCtr="0" anchor="t" bIns="17025" lIns="34075" spcFirstLastPara="1" rIns="34075" wrap="square" tIns="17025">
                            <a:spAutoFit/>
                          </wps:bodyPr>
                        </wps:wsp>
                        <wps:wsp>
                          <wps:cNvSpPr txBox="1"/>
                          <wps:cNvPr id="10" name="Shape 10"/>
                          <wps:spPr>
                            <a:xfrm>
                              <a:off x="11771313" y="6295370"/>
                              <a:ext cx="1874700" cy="604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roxima Nova" w:cs="Proxima Nova" w:eastAsia="Proxima Nova" w:hAnsi="Proxima Nova"/>
                                    <w:b w:val="0"/>
                                    <w:i w:val="0"/>
                                    <w:smallCaps w:val="0"/>
                                    <w:strike w:val="0"/>
                                    <w:color w:val="000000"/>
                                    <w:sz w:val="23.1156005859375"/>
                                    <w:vertAlign w:val="baseline"/>
                                  </w:rPr>
                                  <w:t xml:space="preserve">D</w:t>
                                </w:r>
                                <w:r w:rsidDel="00000000" w:rsidR="00000000" w:rsidRPr="00000000">
                                  <w:rPr>
                                    <w:rFonts w:ascii="Proxima Nova" w:cs="Proxima Nova" w:eastAsia="Proxima Nova" w:hAnsi="Proxima Nova"/>
                                    <w:b w:val="0"/>
                                    <w:i w:val="0"/>
                                    <w:smallCaps w:val="0"/>
                                    <w:strike w:val="0"/>
                                    <w:color w:val="000000"/>
                                    <w:sz w:val="23.1156005859375"/>
                                    <w:vertAlign w:val="baseline"/>
                                  </w:rPr>
                                  <w:t xml:space="preserve">onnées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roxima Nova" w:cs="Proxima Nova" w:eastAsia="Proxima Nova" w:hAnsi="Proxima Nova"/>
                                    <w:b w:val="0"/>
                                    <w:i w:val="0"/>
                                    <w:smallCaps w:val="0"/>
                                    <w:strike w:val="0"/>
                                    <w:color w:val="000000"/>
                                    <w:sz w:val="23.1156005859375"/>
                                    <w:vertAlign w:val="baseline"/>
                                  </w:rPr>
                                </w:r>
                                <w:r w:rsidDel="00000000" w:rsidR="00000000" w:rsidRPr="00000000">
                                  <w:rPr>
                                    <w:rFonts w:ascii="Calibri" w:cs="Calibri" w:eastAsia="Calibri" w:hAnsi="Calibri"/>
                                    <w:b w:val="0"/>
                                    <w:i w:val="0"/>
                                    <w:smallCaps w:val="0"/>
                                    <w:strike w:val="0"/>
                                    <w:color w:val="000000"/>
                                    <w:sz w:val="16.404600143432617"/>
                                    <w:vertAlign w:val="baseline"/>
                                  </w:rPr>
                                  <w:t xml:space="preserve"> </w:t>
                                </w:r>
                              </w:p>
                            </w:txbxContent>
                          </wps:txbx>
                          <wps:bodyPr anchorCtr="0" anchor="t" bIns="17025" lIns="34075" spcFirstLastPara="1" rIns="34075" wrap="square" tIns="17025">
                            <a:spAutoFit/>
                          </wps:bodyPr>
                        </wps:wsp>
                        <wps:wsp>
                          <wps:cNvSpPr txBox="1"/>
                          <wps:cNvPr id="11" name="Shape 11"/>
                          <wps:spPr>
                            <a:xfrm>
                              <a:off x="10802311" y="8495976"/>
                              <a:ext cx="2308800" cy="28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17025" lIns="34075" spcFirstLastPara="1" rIns="34075" wrap="square" tIns="17025">
                            <a:spAutoFit/>
                          </wps:bodyPr>
                        </wps:wsp>
                        <wps:wsp>
                          <wps:cNvSpPr txBox="1"/>
                          <wps:cNvPr id="12" name="Shape 12"/>
                          <wps:spPr>
                            <a:xfrm>
                              <a:off x="10802311" y="8598841"/>
                              <a:ext cx="2199600" cy="379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roxima Nova" w:cs="Proxima Nova" w:eastAsia="Proxima Nova" w:hAnsi="Proxima Nova"/>
                                    <w:b w:val="0"/>
                                    <w:i w:val="0"/>
                                    <w:smallCaps w:val="0"/>
                                    <w:strike w:val="0"/>
                                    <w:color w:val="000000"/>
                                    <w:sz w:val="23.1156005859375"/>
                                    <w:vertAlign w:val="baseline"/>
                                  </w:rPr>
                                  <w:t xml:space="preserve">Partne</w:t>
                                </w:r>
                                <w:r w:rsidDel="00000000" w:rsidR="00000000" w:rsidRPr="00000000">
                                  <w:rPr>
                                    <w:rFonts w:ascii="Proxima Nova" w:cs="Proxima Nova" w:eastAsia="Proxima Nova" w:hAnsi="Proxima Nova"/>
                                    <w:b w:val="0"/>
                                    <w:i w:val="0"/>
                                    <w:smallCaps w:val="0"/>
                                    <w:strike w:val="0"/>
                                    <w:color w:val="000000"/>
                                    <w:sz w:val="23.1156005859375"/>
                                    <w:vertAlign w:val="baseline"/>
                                  </w:rPr>
                                  <w:t xml:space="preserve">nariat</w:t>
                                </w:r>
                              </w:p>
                            </w:txbxContent>
                          </wps:txbx>
                          <wps:bodyPr anchorCtr="0" anchor="t" bIns="17025" lIns="34075" spcFirstLastPara="1" rIns="34075" wrap="square" tIns="17025">
                            <a:spAutoFit/>
                          </wps:bodyPr>
                        </wps:wsp>
                        <wps:wsp>
                          <wps:cNvSpPr/>
                          <wps:cNvPr id="13" name="Shape 13"/>
                          <wps:spPr>
                            <a:xfrm rot="-4291375">
                              <a:off x="7415237" y="5417076"/>
                              <a:ext cx="2450734" cy="2258721"/>
                            </a:xfrm>
                            <a:prstGeom prst="pentagon">
                              <a:avLst>
                                <a:gd fmla="val 105146" name="hf"/>
                                <a:gd fmla="val 110557" name="vf"/>
                              </a:avLst>
                            </a:prstGeom>
                            <a:solidFill>
                              <a:srgbClr val="A64D79"/>
                            </a:solidFill>
                            <a:ln cap="flat" cmpd="sng" w="4725">
                              <a:solidFill>
                                <a:srgbClr val="3A488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17025" lIns="34075" spcFirstLastPara="1" rIns="34075" wrap="square" tIns="17025">
                            <a:noAutofit/>
                          </wps:bodyPr>
                        </wps:wsp>
                        <wps:wsp>
                          <wps:cNvSpPr/>
                          <wps:cNvPr id="14" name="Shape 14"/>
                          <wps:spPr>
                            <a:xfrm rot="10800000">
                              <a:off x="1344403" y="3382154"/>
                              <a:ext cx="2947800" cy="2985900"/>
                            </a:xfrm>
                            <a:prstGeom prst="pentagon">
                              <a:avLst>
                                <a:gd fmla="val 105146" name="hf"/>
                                <a:gd fmla="val 110557" name="vf"/>
                              </a:avLst>
                            </a:prstGeom>
                            <a:solidFill>
                              <a:srgbClr val="4F1337"/>
                            </a:solidFill>
                            <a:ln cap="flat" cmpd="sng" w="4725">
                              <a:solidFill>
                                <a:srgbClr val="431C3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17025" lIns="34075" spcFirstLastPara="1" rIns="34075" wrap="square" tIns="17025">
                            <a:noAutofit/>
                          </wps:bodyPr>
                        </wps:wsp>
                        <wps:wsp>
                          <wps:cNvSpPr txBox="1"/>
                          <wps:cNvPr id="15" name="Shape 15"/>
                          <wps:spPr>
                            <a:xfrm>
                              <a:off x="1786008" y="4108923"/>
                              <a:ext cx="2064600" cy="1455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roxima Nova" w:cs="Proxima Nova" w:eastAsia="Proxima Nova" w:hAnsi="Proxima Nova"/>
                                    <w:b w:val="0"/>
                                    <w:i w:val="0"/>
                                    <w:smallCaps w:val="0"/>
                                    <w:strike w:val="0"/>
                                    <w:color w:val="ffffff"/>
                                    <w:sz w:val="25.35260009765625"/>
                                    <w:vertAlign w:val="baseline"/>
                                  </w:rPr>
                                  <w:t xml:space="preserve">Inclusion des personnes en situation de handicap</w:t>
                                </w:r>
                              </w:p>
                            </w:txbxContent>
                          </wps:txbx>
                          <wps:bodyPr anchorCtr="0" anchor="t" bIns="17025" lIns="34075" spcFirstLastPara="1" rIns="34075" wrap="square" tIns="17025">
                            <a:spAutoFit/>
                          </wps:bodyPr>
                        </wps:wsp>
                        <wps:wsp>
                          <wps:cNvSpPr txBox="1"/>
                          <wps:cNvPr id="16" name="Shape 16"/>
                          <wps:spPr>
                            <a:xfrm>
                              <a:off x="8865542" y="8718453"/>
                              <a:ext cx="1508400" cy="379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roxima Nova" w:cs="Proxima Nova" w:eastAsia="Proxima Nova" w:hAnsi="Proxima Nova"/>
                                    <w:b w:val="0"/>
                                    <w:i w:val="0"/>
                                    <w:smallCaps w:val="0"/>
                                    <w:strike w:val="0"/>
                                    <w:color w:val="000000"/>
                                    <w:sz w:val="23.1156005859375"/>
                                    <w:vertAlign w:val="baseline"/>
                                  </w:rPr>
                                  <w:t xml:space="preserve">Participation</w:t>
                                </w:r>
                              </w:p>
                            </w:txbxContent>
                          </wps:txbx>
                          <wps:bodyPr anchorCtr="0" anchor="t" bIns="17025" lIns="34075" spcFirstLastPara="1" rIns="34075" wrap="square" tIns="17025">
                            <a:spAutoFit/>
                          </wps:bodyPr>
                        </wps:wsp>
                      </wpg:grpSp>
                      <wps:wsp>
                        <wps:cNvSpPr txBox="1"/>
                        <wps:cNvPr id="17" name="Shape 17"/>
                        <wps:spPr>
                          <a:xfrm>
                            <a:off x="5626850" y="3063316"/>
                            <a:ext cx="1056600" cy="261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roxima Nova" w:cs="Proxima Nova" w:eastAsia="Proxima Nova" w:hAnsi="Proxima Nova"/>
                                  <w:b w:val="0"/>
                                  <w:i w:val="0"/>
                                  <w:smallCaps w:val="0"/>
                                  <w:strike w:val="0"/>
                                  <w:color w:val="000000"/>
                                  <w:sz w:val="22"/>
                                  <w:vertAlign w:val="baseline"/>
                                </w:rPr>
                                <w:t xml:space="preserve">Accessibilit</w:t>
                              </w:r>
                              <w:r w:rsidDel="00000000" w:rsidR="00000000" w:rsidRPr="00000000">
                                <w:rPr>
                                  <w:rFonts w:ascii="Proxima Nova" w:cs="Proxima Nova" w:eastAsia="Proxima Nova" w:hAnsi="Proxima Nova"/>
                                  <w:b w:val="0"/>
                                  <w:i w:val="0"/>
                                  <w:smallCaps w:val="0"/>
                                  <w:strike w:val="0"/>
                                  <w:color w:val="000000"/>
                                  <w:sz w:val="22"/>
                                  <w:vertAlign w:val="baseline"/>
                                </w:rPr>
                                <w:t xml:space="preserve">é</w:t>
                              </w:r>
                            </w:p>
                          </w:txbxContent>
                        </wps:txbx>
                        <wps:bodyPr anchorCtr="0" anchor="t" bIns="45700" lIns="91425" spcFirstLastPara="1" rIns="91425" wrap="square" tIns="45700">
                          <a:spAutoFit/>
                        </wps:bodyPr>
                      </wps:wsp>
                    </wpg:wgp>
                  </a:graphicData>
                </a:graphic>
              </wp:inline>
            </w:drawing>
          </mc:Choice>
          <mc:Fallback>
            <w:drawing>
              <wp:inline distB="114300" distT="114300" distL="114300" distR="114300">
                <wp:extent cx="6072188" cy="2882482"/>
                <wp:effectExtent b="0" l="0" r="0" t="0"/>
                <wp:docPr id="206098573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072188" cy="288248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D">
      <w:pPr>
        <w:pStyle w:val="Heading2"/>
        <w:rPr/>
      </w:pPr>
      <w:bookmarkStart w:colFirst="0" w:colLast="0" w:name="_heading=h.5jtkmzhrurs6" w:id="1"/>
      <w:bookmarkEnd w:id="1"/>
      <w:r w:rsidDel="00000000" w:rsidR="00000000" w:rsidRPr="00000000">
        <w:rPr>
          <w:rtl w:val="0"/>
        </w:rPr>
        <w:t xml:space="preserve">Accessibilité</w:t>
      </w:r>
    </w:p>
    <w:p w:rsidR="00000000" w:rsidDel="00000000" w:rsidP="00000000" w:rsidRDefault="00000000" w:rsidRPr="00000000" w14:paraId="0000000E">
      <w:pPr>
        <w:spacing w:before="160" w:lineRule="auto"/>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Lors de la planification et de la mise en œuvre des interventions et des infrastructures du projet, il est important de prévoir, de budgéter et d’appliquer, dans la mesure du possible, les principes de </w:t>
      </w:r>
      <w:r w:rsidDel="00000000" w:rsidR="00000000" w:rsidRPr="00000000">
        <w:rPr>
          <w:rFonts w:ascii="Proxima Nova" w:cs="Proxima Nova" w:eastAsia="Proxima Nova" w:hAnsi="Proxima Nova"/>
          <w:b w:val="1"/>
          <w:bCs w:val="1"/>
          <w:color w:val="993365"/>
          <w:sz w:val="22"/>
          <w:szCs w:val="22"/>
          <w:rtl w:val="0"/>
        </w:rPr>
        <w:t xml:space="preserve">conception universelle</w:t>
      </w:r>
      <w:r w:rsidDel="00000000" w:rsidR="00000000" w:rsidRPr="00000000">
        <w:rPr>
          <w:rFonts w:ascii="Proxima Nova" w:cs="Proxima Nova" w:eastAsia="Proxima Nova" w:hAnsi="Proxima Nova"/>
          <w:b w:val="1"/>
          <w:bCs w:val="1"/>
          <w:color w:val="993365"/>
          <w:sz w:val="22"/>
          <w:szCs w:val="22"/>
          <w:vertAlign w:val="superscript"/>
        </w:rPr>
        <w:footnoteReference w:customMarkFollows="0" w:id="1"/>
      </w:r>
      <w:r w:rsidDel="00000000" w:rsidR="00000000" w:rsidRPr="00000000">
        <w:rPr>
          <w:rFonts w:ascii="Proxima Nova" w:cs="Proxima Nova" w:eastAsia="Proxima Nova" w:hAnsi="Proxima Nova"/>
          <w:sz w:val="22"/>
          <w:szCs w:val="22"/>
          <w:rtl w:val="0"/>
        </w:rPr>
        <w:t xml:space="preserve">. Cela permet de s’assurer que les interventions, activités, installations et événements sont accessibles à toutes et à tous, y compris les personnes en situation de handicap, les personnes âgées, les femmes enceintes et les enfants.</w:t>
      </w:r>
    </w:p>
    <w:p w:rsidR="00000000" w:rsidDel="00000000" w:rsidP="00000000" w:rsidRDefault="00000000" w:rsidRPr="00000000" w14:paraId="0000000F">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0">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Voici des exemples d’accessibilité environnementale :</w:t>
      </w:r>
      <w:r w:rsidDel="00000000" w:rsidR="00000000" w:rsidRPr="00000000">
        <w:rPr>
          <w:rtl w:val="0"/>
        </w:rPr>
      </w:r>
    </w:p>
    <w:p w:rsidR="00000000" w:rsidDel="00000000" w:rsidP="00000000" w:rsidRDefault="00000000" w:rsidRPr="00000000" w14:paraId="00000011">
      <w:pPr>
        <w:numPr>
          <w:ilvl w:val="0"/>
          <w:numId w:val="14"/>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Bâtiments, routes, transports et autres infrastructures intérieures et extérieures, y compris les écoles, les installations sportives, les logements, les établissements de santé et les milieux de travail</w:t>
      </w:r>
    </w:p>
    <w:p w:rsidR="00000000" w:rsidDel="00000000" w:rsidP="00000000" w:rsidRDefault="00000000" w:rsidRPr="00000000" w14:paraId="00000012">
      <w:pPr>
        <w:numPr>
          <w:ilvl w:val="0"/>
          <w:numId w:val="14"/>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Services d’information, de communication et autres, dont les services électroniques et les services d’urgence</w:t>
      </w:r>
    </w:p>
    <w:p w:rsidR="00000000" w:rsidDel="00000000" w:rsidP="00000000" w:rsidRDefault="00000000" w:rsidRPr="00000000" w14:paraId="00000013">
      <w:pPr>
        <w:rPr>
          <w:rFonts w:ascii="Proxima Nova" w:cs="Proxima Nova" w:eastAsia="Proxima Nova" w:hAnsi="Proxima Nova"/>
          <w:b w:val="1"/>
          <w:bCs w:val="1"/>
          <w:sz w:val="22"/>
          <w:szCs w:val="22"/>
        </w:rPr>
      </w:pPr>
      <w:r w:rsidDel="00000000" w:rsidR="00000000" w:rsidRPr="00000000">
        <w:rPr>
          <w:rtl w:val="0"/>
        </w:rPr>
      </w:r>
    </w:p>
    <w:p w:rsidR="00000000" w:rsidDel="00000000" w:rsidP="00000000" w:rsidRDefault="00000000" w:rsidRPr="00000000" w14:paraId="00000014">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Voici des exemples d’accessibilité comportementale :</w:t>
      </w:r>
      <w:r w:rsidDel="00000000" w:rsidR="00000000" w:rsidRPr="00000000">
        <w:rPr>
          <w:rtl w:val="0"/>
        </w:rPr>
      </w:r>
    </w:p>
    <w:p w:rsidR="00000000" w:rsidDel="00000000" w:rsidP="00000000" w:rsidRDefault="00000000" w:rsidRPr="00000000" w14:paraId="00000015">
      <w:pPr>
        <w:numPr>
          <w:ilvl w:val="0"/>
          <w:numId w:val="7"/>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Ouverture à collaborer</w:t>
      </w:r>
    </w:p>
    <w:p w:rsidR="00000000" w:rsidDel="00000000" w:rsidP="00000000" w:rsidRDefault="00000000" w:rsidRPr="00000000" w14:paraId="00000016">
      <w:pPr>
        <w:numPr>
          <w:ilvl w:val="0"/>
          <w:numId w:val="7"/>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Comprendre les besoins uniques des personnes vivant avec divers types de déficiences </w:t>
      </w:r>
    </w:p>
    <w:p w:rsidR="00000000" w:rsidDel="00000000" w:rsidP="00000000" w:rsidRDefault="00000000" w:rsidRPr="00000000" w14:paraId="00000017">
      <w:pPr>
        <w:numPr>
          <w:ilvl w:val="0"/>
          <w:numId w:val="7"/>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Adapter les services et les comportements pour éliminer les obstacles</w:t>
      </w:r>
      <w:r w:rsidDel="00000000" w:rsidR="00000000" w:rsidRPr="00000000">
        <w:rPr>
          <w:rtl w:val="0"/>
        </w:rPr>
      </w:r>
    </w:p>
    <w:p w:rsidR="00000000" w:rsidDel="00000000" w:rsidP="00000000" w:rsidRDefault="00000000" w:rsidRPr="00000000" w14:paraId="00000018">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9">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Les </w:t>
      </w:r>
      <w:r w:rsidDel="00000000" w:rsidR="00000000" w:rsidRPr="00000000">
        <w:rPr>
          <w:rFonts w:ascii="Proxima Nova" w:cs="Proxima Nova" w:eastAsia="Proxima Nova" w:hAnsi="Proxima Nova"/>
          <w:b w:val="1"/>
          <w:bCs w:val="1"/>
          <w:color w:val="993365"/>
          <w:sz w:val="22"/>
          <w:szCs w:val="22"/>
          <w:rtl w:val="0"/>
        </w:rPr>
        <w:t xml:space="preserve">accommodements raisonnables</w:t>
      </w:r>
      <w:r w:rsidDel="00000000" w:rsidR="00000000" w:rsidRPr="00000000">
        <w:rPr>
          <w:rFonts w:ascii="Proxima Nova" w:cs="Proxima Nova" w:eastAsia="Proxima Nova" w:hAnsi="Proxima Nova"/>
          <w:b w:val="1"/>
          <w:bCs w:val="1"/>
          <w:sz w:val="22"/>
          <w:szCs w:val="22"/>
          <w:rtl w:val="0"/>
        </w:rPr>
        <w:t xml:space="preserve"> </w:t>
      </w:r>
      <w:r w:rsidDel="00000000" w:rsidR="00000000" w:rsidRPr="00000000">
        <w:rPr>
          <w:rFonts w:ascii="Proxima Nova" w:cs="Proxima Nova" w:eastAsia="Proxima Nova" w:hAnsi="Proxima Nova"/>
          <w:sz w:val="22"/>
          <w:szCs w:val="22"/>
          <w:rtl w:val="0"/>
        </w:rPr>
        <w:t xml:space="preserve">s’appliquent généralement au cas par cas, souvent en réponse à un besoin individuel. Par exemple, quelqu’un pourrait demander une modification des lieux ou une forme de soutien dans des circonstances précises. Ils sont généralement mis en place pour </w:t>
      </w:r>
      <w:r w:rsidDel="00000000" w:rsidR="00000000" w:rsidRPr="00000000">
        <w:rPr>
          <w:rFonts w:ascii="Proxima Nova" w:cs="Proxima Nova" w:eastAsia="Proxima Nova" w:hAnsi="Proxima Nova"/>
          <w:b w:val="1"/>
          <w:bCs w:val="1"/>
          <w:color w:val="993365"/>
          <w:sz w:val="22"/>
          <w:szCs w:val="22"/>
          <w:rtl w:val="0"/>
        </w:rPr>
        <w:t xml:space="preserve">permettre à une personne de participer</w:t>
      </w:r>
      <w:r w:rsidDel="00000000" w:rsidR="00000000" w:rsidRPr="00000000">
        <w:rPr>
          <w:rFonts w:ascii="Proxima Nova" w:cs="Proxima Nova" w:eastAsia="Proxima Nova" w:hAnsi="Proxima Nova"/>
          <w:b w:val="1"/>
          <w:bCs w:val="1"/>
          <w:sz w:val="22"/>
          <w:szCs w:val="22"/>
          <w:rtl w:val="0"/>
        </w:rPr>
        <w:t xml:space="preserve"> </w:t>
      </w:r>
      <w:r w:rsidDel="00000000" w:rsidR="00000000" w:rsidRPr="00000000">
        <w:rPr>
          <w:rFonts w:ascii="Proxima Nova" w:cs="Proxima Nova" w:eastAsia="Proxima Nova" w:hAnsi="Proxima Nova"/>
          <w:sz w:val="22"/>
          <w:szCs w:val="22"/>
          <w:rtl w:val="0"/>
        </w:rPr>
        <w:t xml:space="preserve">pleinement (p. ex., le renforcement des capacités et la formation, les déplacements et les moyens de transport, les réunions, les consultations et les événements, les espaces de travail, ainsi que les aspects liés à la gestion des camps dans les contextes de personnes réfugiées ou déplacées).</w:t>
      </w:r>
    </w:p>
    <w:p w:rsidR="00000000" w:rsidDel="00000000" w:rsidP="00000000" w:rsidRDefault="00000000" w:rsidRPr="00000000" w14:paraId="0000001A">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B">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Ils peuvent être </w:t>
      </w:r>
      <w:r w:rsidDel="00000000" w:rsidR="00000000" w:rsidRPr="00000000">
        <w:rPr>
          <w:rFonts w:ascii="Proxima Nova" w:cs="Proxima Nova" w:eastAsia="Proxima Nova" w:hAnsi="Proxima Nova"/>
          <w:b w:val="1"/>
          <w:bCs w:val="1"/>
          <w:color w:val="993365"/>
          <w:sz w:val="22"/>
          <w:szCs w:val="22"/>
          <w:rtl w:val="0"/>
        </w:rPr>
        <w:t xml:space="preserve">temporaires</w:t>
      </w:r>
      <w:r w:rsidDel="00000000" w:rsidR="00000000" w:rsidRPr="00000000">
        <w:rPr>
          <w:rFonts w:ascii="Proxima Nova" w:cs="Proxima Nova" w:eastAsia="Proxima Nova" w:hAnsi="Proxima Nova"/>
          <w:sz w:val="22"/>
          <w:szCs w:val="22"/>
          <w:rtl w:val="0"/>
        </w:rPr>
        <w:t xml:space="preserve">, par exemple : </w:t>
      </w:r>
    </w:p>
    <w:p w:rsidR="00000000" w:rsidDel="00000000" w:rsidP="00000000" w:rsidRDefault="00000000" w:rsidRPr="00000000" w14:paraId="0000001C">
      <w:pPr>
        <w:numPr>
          <w:ilvl w:val="0"/>
          <w:numId w:val="8"/>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Une rampe amovible </w:t>
      </w:r>
    </w:p>
    <w:p w:rsidR="00000000" w:rsidDel="00000000" w:rsidP="00000000" w:rsidRDefault="00000000" w:rsidRPr="00000000" w14:paraId="0000001D">
      <w:pPr>
        <w:numPr>
          <w:ilvl w:val="0"/>
          <w:numId w:val="8"/>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Un logiciel de lecture d’écran</w:t>
      </w:r>
    </w:p>
    <w:p w:rsidR="00000000" w:rsidDel="00000000" w:rsidP="00000000" w:rsidRDefault="00000000" w:rsidRPr="00000000" w14:paraId="0000001E">
      <w:pPr>
        <w:numPr>
          <w:ilvl w:val="0"/>
          <w:numId w:val="8"/>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Un·e interprète en langue des signes peut être requis pour un événement particulier ou tant qu’une personne malentendante a besoin de soutien </w:t>
      </w:r>
    </w:p>
    <w:p w:rsidR="00000000" w:rsidDel="00000000" w:rsidP="00000000" w:rsidRDefault="00000000" w:rsidRPr="00000000" w14:paraId="0000001F">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20">
      <w:pPr>
        <w:spacing w:after="80" w:lineRule="auto"/>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Ils peuvent également prendre la forme de changements </w:t>
      </w:r>
      <w:r w:rsidDel="00000000" w:rsidR="00000000" w:rsidRPr="00000000">
        <w:rPr>
          <w:rFonts w:ascii="Proxima Nova" w:cs="Proxima Nova" w:eastAsia="Proxima Nova" w:hAnsi="Proxima Nova"/>
          <w:b w:val="1"/>
          <w:bCs w:val="1"/>
          <w:color w:val="993365"/>
          <w:sz w:val="22"/>
          <w:szCs w:val="22"/>
          <w:rtl w:val="0"/>
        </w:rPr>
        <w:t xml:space="preserve">systémiques</w:t>
      </w:r>
      <w:r w:rsidDel="00000000" w:rsidR="00000000" w:rsidRPr="00000000">
        <w:rPr>
          <w:rFonts w:ascii="Proxima Nova" w:cs="Proxima Nova" w:eastAsia="Proxima Nova" w:hAnsi="Proxima Nova"/>
          <w:sz w:val="22"/>
          <w:szCs w:val="22"/>
          <w:rtl w:val="0"/>
        </w:rPr>
        <w:t xml:space="preserve"> qui profitent à un plus grand nombre de personnes, y compris les personnes en situation de handicap, et peuvent avoir ou non un impact sur les coûts. Par exemple : </w:t>
      </w:r>
    </w:p>
    <w:p w:rsidR="00000000" w:rsidDel="00000000" w:rsidP="00000000" w:rsidRDefault="00000000" w:rsidRPr="00000000" w14:paraId="00000021">
      <w:pPr>
        <w:numPr>
          <w:ilvl w:val="0"/>
          <w:numId w:val="13"/>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Des adaptations infrastructurelles, comme l’installation de rampes permanentes ou d’ascenseurs dans un bâtiment</w:t>
      </w:r>
    </w:p>
    <w:p w:rsidR="00000000" w:rsidDel="00000000" w:rsidP="00000000" w:rsidRDefault="00000000" w:rsidRPr="00000000" w14:paraId="00000022">
      <w:pPr>
        <w:numPr>
          <w:ilvl w:val="0"/>
          <w:numId w:val="13"/>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Des postes de travail ajustables, incluant des bureaux réglables et des chaises ergonomiques </w:t>
      </w:r>
    </w:p>
    <w:p w:rsidR="00000000" w:rsidDel="00000000" w:rsidP="00000000" w:rsidRDefault="00000000" w:rsidRPr="00000000" w14:paraId="00000023">
      <w:pPr>
        <w:numPr>
          <w:ilvl w:val="0"/>
          <w:numId w:val="13"/>
        </w:numPr>
        <w:spacing w:after="80" w:lineRule="auto"/>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Un changement dans l’organisation du temps de travail : </w:t>
      </w:r>
    </w:p>
    <w:p w:rsidR="00000000" w:rsidDel="00000000" w:rsidP="00000000" w:rsidRDefault="00000000" w:rsidRPr="00000000" w14:paraId="00000024">
      <w:pPr>
        <w:numPr>
          <w:ilvl w:val="1"/>
          <w:numId w:val="1"/>
        </w:numPr>
        <w:ind w:left="144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Des horaires de travail flexibles </w:t>
      </w:r>
    </w:p>
    <w:p w:rsidR="00000000" w:rsidDel="00000000" w:rsidP="00000000" w:rsidRDefault="00000000" w:rsidRPr="00000000" w14:paraId="00000025">
      <w:pPr>
        <w:numPr>
          <w:ilvl w:val="1"/>
          <w:numId w:val="1"/>
        </w:numPr>
        <w:ind w:left="144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Des espaces calmes pour se reposer ou travailler au besoin</w:t>
      </w:r>
    </w:p>
    <w:p w:rsidR="00000000" w:rsidDel="00000000" w:rsidP="00000000" w:rsidRDefault="00000000" w:rsidRPr="00000000" w14:paraId="00000026">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27">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L’accessibilité et les accommodements raisonnables sont étroitement liés. Les normes en matière d’accessibilité peuvent être intégrées graduellement à travers des aménagements permanents, ce qui permet de répondre plus facilement à de futures demandes d’accommodements raisonnables.</w:t>
      </w:r>
    </w:p>
    <w:p w:rsidR="00000000" w:rsidDel="00000000" w:rsidP="00000000" w:rsidRDefault="00000000" w:rsidRPr="00000000" w14:paraId="00000028">
      <w:pPr>
        <w:pStyle w:val="Heading4"/>
        <w:rPr/>
      </w:pPr>
      <w:bookmarkStart w:colFirst="0" w:colLast="0" w:name="_heading=h.umj24lebqqr1" w:id="2"/>
      <w:bookmarkEnd w:id="2"/>
      <w:r w:rsidDel="00000000" w:rsidR="00000000" w:rsidRPr="00000000">
        <w:rPr>
          <w:rtl w:val="0"/>
        </w:rPr>
        <w:t xml:space="preserve">Ressource supplémentaire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23"/>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Ce </w:t>
      </w:r>
      <w:hyperlink r:id="rId9">
        <w:r w:rsidDel="00000000" w:rsidR="00000000" w:rsidRPr="00000000">
          <w:rPr>
            <w:rFonts w:ascii="Proxima Nova" w:cs="Proxima Nova" w:eastAsia="Proxima Nova" w:hAnsi="Proxima Nova"/>
            <w:color w:val="3a4888"/>
            <w:sz w:val="22"/>
            <w:szCs w:val="22"/>
            <w:u w:val="single"/>
            <w:rtl w:val="0"/>
          </w:rPr>
          <w:t xml:space="preserve">guide complet</w:t>
        </w:r>
      </w:hyperlink>
      <w:r w:rsidDel="00000000" w:rsidR="00000000" w:rsidRPr="00000000">
        <w:rPr>
          <w:rFonts w:ascii="Proxima Nova" w:cs="Proxima Nova" w:eastAsia="Proxima Nova" w:hAnsi="Proxima Nova"/>
          <w:sz w:val="22"/>
          <w:szCs w:val="22"/>
          <w:rtl w:val="0"/>
        </w:rPr>
        <w:t xml:space="preserve">, élaboré par CBM Global et l’Union mondiale des aveugles, offre un soutien pratique pour adopter une approche inclusive dans toute l’organisation. Il vise à appuyer la réalisation de sept engagements fondamentaux en matière d’accessibilité, couvrant les environnements bâtis, l’information et les communications, l’approvisionnement en biens et services, la formation et le renforcement des capacités, les programmes, les réunions et événements, ainsi que le recrutement et la gestion des ressources humaines.</w:t>
      </w:r>
      <w:hyperlink r:id="rId10">
        <w:r w:rsidDel="00000000" w:rsidR="00000000" w:rsidRPr="00000000">
          <w:rPr>
            <w:rFonts w:ascii="Proxima Nova" w:cs="Proxima Nova" w:eastAsia="Proxima Nova" w:hAnsi="Proxima Nova"/>
            <w:color w:val="0563c1"/>
            <w:sz w:val="22"/>
            <w:szCs w:val="22"/>
            <w:u w:val="single"/>
            <w:rtl w:val="0"/>
          </w:rPr>
          <w:t xml:space="preserve"> </w:t>
        </w:r>
      </w:hyperlink>
      <w:r w:rsidDel="00000000" w:rsidR="00000000" w:rsidRPr="00000000">
        <w:rPr>
          <w:rtl w:val="0"/>
        </w:rPr>
      </w:r>
    </w:p>
    <w:p w:rsidR="00000000" w:rsidDel="00000000" w:rsidP="00000000" w:rsidRDefault="00000000" w:rsidRPr="00000000" w14:paraId="0000002B">
      <w:pPr>
        <w:rPr>
          <w:rFonts w:ascii="Aptos" w:cs="Aptos" w:eastAsia="Aptos" w:hAnsi="Aptos"/>
          <w:b w:val="1"/>
          <w:bCs w:val="1"/>
          <w:color w:val="c00000"/>
        </w:rPr>
      </w:pPr>
      <w:r w:rsidDel="00000000" w:rsidR="00000000" w:rsidRPr="00000000">
        <w:rPr>
          <w:rtl w:val="0"/>
        </w:rPr>
      </w:r>
    </w:p>
    <w:p w:rsidR="00000000" w:rsidDel="00000000" w:rsidP="00000000" w:rsidRDefault="00000000" w:rsidRPr="00000000" w14:paraId="0000002C">
      <w:pPr>
        <w:pStyle w:val="Heading2"/>
        <w:rPr/>
      </w:pPr>
      <w:bookmarkStart w:colFirst="0" w:colLast="0" w:name="_heading=h.fxqhrwlsc9ls" w:id="3"/>
      <w:bookmarkEnd w:id="3"/>
      <w:r w:rsidDel="00000000" w:rsidR="00000000" w:rsidRPr="00000000">
        <w:rPr>
          <w:rtl w:val="0"/>
        </w:rPr>
        <w:t xml:space="preserve">Budget</w:t>
      </w:r>
    </w:p>
    <w:p w:rsidR="00000000" w:rsidDel="00000000" w:rsidP="00000000" w:rsidRDefault="00000000" w:rsidRPr="00000000" w14:paraId="0000002D">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Sans budget adéquat, l’inclusion est peu probable. L’inclusion des personnes en situation de handicap n’est pas nécessairement coûteuse, mais elle exige une planification et une budgétisation tout au long du cycle de projet, afin que les propositions de financement intègrent et justifient les ressources nécessaires. Le budget doit tenir compte de l’accessibilité et des accommodements raisonnables, non seulement pour favoriser la participation des personnes en situation de handicap, mais aussi pour permettre la collecte de données, établir des partenariats pertinents, renforcer les capacités de divers acteurs, et appuyer le personnel ainsi que les processus internes liés à l’inclusion. Même s’il peut être difficile d’estimer précisément les coûts associés, il est recommandé de consacrer environ 5 % du budget global du programme à cette fin.</w:t>
      </w:r>
    </w:p>
    <w:p w:rsidR="00000000" w:rsidDel="00000000" w:rsidP="00000000" w:rsidRDefault="00000000" w:rsidRPr="00000000" w14:paraId="0000002E">
      <w:pPr>
        <w:rPr>
          <w:rFonts w:ascii="Proxima Nova" w:cs="Proxima Nova" w:eastAsia="Proxima Nova" w:hAnsi="Proxima Nova"/>
        </w:rPr>
      </w:pPr>
      <w:r w:rsidDel="00000000" w:rsidR="00000000" w:rsidRPr="00000000">
        <w:rPr>
          <w:rtl w:val="0"/>
        </w:rPr>
      </w:r>
    </w:p>
    <w:tbl>
      <w:tblPr>
        <w:tblStyle w:val="Table1"/>
        <w:tblW w:w="10140.0" w:type="dxa"/>
        <w:jc w:val="left"/>
        <w:tblLayout w:type="fixed"/>
        <w:tblLook w:val="0400"/>
      </w:tblPr>
      <w:tblGrid>
        <w:gridCol w:w="2550"/>
        <w:gridCol w:w="3120"/>
        <w:gridCol w:w="4470"/>
        <w:tblGridChange w:id="0">
          <w:tblGrid>
            <w:gridCol w:w="2550"/>
            <w:gridCol w:w="3120"/>
            <w:gridCol w:w="4470"/>
          </w:tblGrid>
        </w:tblGridChange>
      </w:tblGrid>
      <w:tr>
        <w:trPr>
          <w:cantSplit w:val="0"/>
          <w:trHeight w:val="340" w:hRule="atLeast"/>
          <w:tblHeader w:val="0"/>
        </w:trPr>
        <w:tc>
          <w:tcPr>
            <w:tcBorders>
              <w:top w:color="000000" w:space="0" w:sz="4" w:val="single"/>
              <w:left w:color="000000" w:space="0" w:sz="4" w:val="single"/>
              <w:bottom w:color="000000" w:space="0" w:sz="6" w:val="single"/>
              <w:right w:color="000000" w:space="0" w:sz="4" w:val="single"/>
            </w:tcBorders>
            <w:shd w:fill="491a36" w:val="clear"/>
            <w:vAlign w:val="center"/>
          </w:tcPr>
          <w:p w:rsidR="00000000" w:rsidDel="00000000" w:rsidP="00000000" w:rsidRDefault="00000000" w:rsidRPr="00000000" w14:paraId="0000002F">
            <w:pPr>
              <w:jc w:val="center"/>
              <w:rPr>
                <w:rFonts w:ascii="Proxima Nova" w:cs="Proxima Nova" w:eastAsia="Proxima Nova" w:hAnsi="Proxima Nova"/>
                <w:color w:val="ffffff"/>
                <w:sz w:val="22"/>
                <w:szCs w:val="22"/>
              </w:rPr>
            </w:pPr>
            <w:r w:rsidDel="00000000" w:rsidR="00000000" w:rsidRPr="00000000">
              <w:rPr>
                <w:rFonts w:ascii="Proxima Nova" w:cs="Proxima Nova" w:eastAsia="Proxima Nova" w:hAnsi="Proxima Nova"/>
                <w:color w:val="ffffff"/>
                <w:sz w:val="22"/>
                <w:szCs w:val="22"/>
                <w:rtl w:val="0"/>
              </w:rPr>
              <w:t xml:space="preserve">Budget pour</w:t>
            </w:r>
          </w:p>
        </w:tc>
        <w:tc>
          <w:tcPr>
            <w:tcBorders>
              <w:top w:color="000000" w:space="0" w:sz="4" w:val="single"/>
              <w:left w:color="000000" w:space="0" w:sz="0" w:val="nil"/>
              <w:bottom w:color="000000" w:space="0" w:sz="0" w:val="nil"/>
              <w:right w:color="000000" w:space="0" w:sz="4" w:val="single"/>
            </w:tcBorders>
            <w:shd w:fill="491a36" w:val="clear"/>
            <w:vAlign w:val="center"/>
          </w:tcPr>
          <w:p w:rsidR="00000000" w:rsidDel="00000000" w:rsidP="00000000" w:rsidRDefault="00000000" w:rsidRPr="00000000" w14:paraId="00000030">
            <w:pPr>
              <w:jc w:val="center"/>
              <w:rPr>
                <w:rFonts w:ascii="Proxima Nova" w:cs="Proxima Nova" w:eastAsia="Proxima Nova" w:hAnsi="Proxima Nova"/>
                <w:color w:val="ffffff"/>
                <w:sz w:val="22"/>
                <w:szCs w:val="22"/>
              </w:rPr>
            </w:pPr>
            <w:r w:rsidDel="00000000" w:rsidR="00000000" w:rsidRPr="00000000">
              <w:rPr>
                <w:rFonts w:ascii="Proxima Nova" w:cs="Proxima Nova" w:eastAsia="Proxima Nova" w:hAnsi="Proxima Nova"/>
                <w:color w:val="ffffff"/>
                <w:sz w:val="22"/>
                <w:szCs w:val="22"/>
                <w:rtl w:val="0"/>
              </w:rPr>
              <w:t xml:space="preserve">Élément</w:t>
            </w:r>
          </w:p>
        </w:tc>
        <w:tc>
          <w:tcPr>
            <w:tcBorders>
              <w:top w:color="000000" w:space="0" w:sz="4" w:val="single"/>
              <w:left w:color="000000" w:space="0" w:sz="0" w:val="nil"/>
              <w:bottom w:color="000000" w:space="0" w:sz="0" w:val="nil"/>
              <w:right w:color="000000" w:space="0" w:sz="4" w:val="single"/>
            </w:tcBorders>
            <w:shd w:fill="491a36" w:val="clear"/>
            <w:vAlign w:val="center"/>
          </w:tcPr>
          <w:p w:rsidR="00000000" w:rsidDel="00000000" w:rsidP="00000000" w:rsidRDefault="00000000" w:rsidRPr="00000000" w14:paraId="00000031">
            <w:pPr>
              <w:jc w:val="center"/>
              <w:rPr>
                <w:rFonts w:ascii="Proxima Nova" w:cs="Proxima Nova" w:eastAsia="Proxima Nova" w:hAnsi="Proxima Nova"/>
                <w:color w:val="ffffff"/>
                <w:sz w:val="22"/>
                <w:szCs w:val="22"/>
              </w:rPr>
            </w:pPr>
            <w:r w:rsidDel="00000000" w:rsidR="00000000" w:rsidRPr="00000000">
              <w:rPr>
                <w:rFonts w:ascii="Proxima Nova" w:cs="Proxima Nova" w:eastAsia="Proxima Nova" w:hAnsi="Proxima Nova"/>
                <w:color w:val="ffffff"/>
                <w:sz w:val="22"/>
                <w:szCs w:val="22"/>
                <w:rtl w:val="0"/>
              </w:rPr>
              <w:t xml:space="preserve">Occasion</w:t>
            </w:r>
          </w:p>
        </w:tc>
      </w:tr>
      <w:tr>
        <w:trPr>
          <w:cantSplit w:val="0"/>
          <w:trHeight w:val="360" w:hRule="atLeast"/>
          <w:tblHeader w:val="0"/>
        </w:trPr>
        <w:tc>
          <w:tcPr>
            <w:vMerge w:val="restart"/>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32">
            <w:pPr>
              <w:rPr>
                <w:rFonts w:ascii="Proxima Nova" w:cs="Proxima Nova" w:eastAsia="Proxima Nova" w:hAnsi="Proxima Nova"/>
                <w:sz w:val="21"/>
                <w:szCs w:val="21"/>
              </w:rPr>
            </w:pPr>
            <w:r w:rsidDel="00000000" w:rsidR="00000000" w:rsidRPr="00000000">
              <w:rPr>
                <w:rtl w:val="0"/>
              </w:rPr>
            </w:r>
          </w:p>
          <w:p w:rsidR="00000000" w:rsidDel="00000000" w:rsidP="00000000" w:rsidRDefault="00000000" w:rsidRPr="00000000" w14:paraId="00000033">
            <w:pPr>
              <w:jc w:val="center"/>
              <w:rPr>
                <w:rFonts w:ascii="Proxima Nova" w:cs="Proxima Nova" w:eastAsia="Proxima Nova" w:hAnsi="Proxima Nova"/>
                <w:sz w:val="21"/>
                <w:szCs w:val="21"/>
              </w:rPr>
            </w:pPr>
            <w:r w:rsidDel="00000000" w:rsidR="00000000" w:rsidRPr="00000000">
              <w:rPr>
                <w:rtl w:val="0"/>
              </w:rPr>
            </w:r>
          </w:p>
          <w:p w:rsidR="00000000" w:rsidDel="00000000" w:rsidP="00000000" w:rsidRDefault="00000000" w:rsidRPr="00000000" w14:paraId="00000034">
            <w:pPr>
              <w:jc w:val="cente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Accommodements raisonnables</w:t>
            </w:r>
          </w:p>
          <w:p w:rsidR="00000000" w:rsidDel="00000000" w:rsidP="00000000" w:rsidRDefault="00000000" w:rsidRPr="00000000" w14:paraId="00000035">
            <w:pPr>
              <w:jc w:val="cente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 et</w:t>
            </w:r>
          </w:p>
          <w:p w:rsidR="00000000" w:rsidDel="00000000" w:rsidP="00000000" w:rsidRDefault="00000000" w:rsidRPr="00000000" w14:paraId="00000036">
            <w:pPr>
              <w:jc w:val="cente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 accessibilité</w:t>
            </w:r>
          </w:p>
          <w:p w:rsidR="00000000" w:rsidDel="00000000" w:rsidP="00000000" w:rsidRDefault="00000000" w:rsidRPr="00000000" w14:paraId="00000037">
            <w:pPr>
              <w:rPr>
                <w:rFonts w:ascii="Proxima Nova" w:cs="Proxima Nova" w:eastAsia="Proxima Nova" w:hAnsi="Proxima Nova"/>
                <w:sz w:val="21"/>
                <w:szCs w:val="21"/>
              </w:rPr>
            </w:pPr>
            <w:r w:rsidDel="00000000" w:rsidR="00000000" w:rsidRPr="00000000">
              <w:rPr>
                <w:rtl w:val="0"/>
              </w:rPr>
            </w:r>
          </w:p>
          <w:p w:rsidR="00000000" w:rsidDel="00000000" w:rsidP="00000000" w:rsidRDefault="00000000" w:rsidRPr="00000000" w14:paraId="00000038">
            <w:pPr>
              <w:rPr>
                <w:rFonts w:ascii="Proxima Nova" w:cs="Proxima Nova" w:eastAsia="Proxima Nova" w:hAnsi="Proxima Nova"/>
                <w:sz w:val="21"/>
                <w:szCs w:val="21"/>
              </w:rPr>
            </w:pPr>
            <w:r w:rsidDel="00000000" w:rsidR="00000000" w:rsidRPr="00000000">
              <w:rPr>
                <w:rtl w:val="0"/>
              </w:rPr>
            </w:r>
          </w:p>
          <w:p w:rsidR="00000000" w:rsidDel="00000000" w:rsidP="00000000" w:rsidRDefault="00000000" w:rsidRPr="00000000" w14:paraId="00000039">
            <w:pPr>
              <w:rPr>
                <w:rFonts w:ascii="Proxima Nova" w:cs="Proxima Nova" w:eastAsia="Proxima Nova" w:hAnsi="Proxima Nova"/>
                <w:sz w:val="21"/>
                <w:szCs w:val="21"/>
              </w:rPr>
            </w:pPr>
            <w:r w:rsidDel="00000000" w:rsidR="00000000" w:rsidRPr="00000000">
              <w:rPr>
                <w:rtl w:val="0"/>
              </w:rPr>
            </w:r>
          </w:p>
          <w:p w:rsidR="00000000" w:rsidDel="00000000" w:rsidP="00000000" w:rsidRDefault="00000000" w:rsidRPr="00000000" w14:paraId="0000003A">
            <w:pPr>
              <w:rPr>
                <w:rFonts w:ascii="Proxima Nova" w:cs="Proxima Nova" w:eastAsia="Proxima Nova" w:hAnsi="Proxima Nova"/>
                <w:sz w:val="21"/>
                <w:szCs w:val="21"/>
              </w:rPr>
            </w:pPr>
            <w:r w:rsidDel="00000000" w:rsidR="00000000" w:rsidRPr="00000000">
              <w:rPr>
                <w:rtl w:val="0"/>
              </w:rPr>
            </w:r>
          </w:p>
          <w:p w:rsidR="00000000" w:rsidDel="00000000" w:rsidP="00000000" w:rsidRDefault="00000000" w:rsidRPr="00000000" w14:paraId="0000003B">
            <w:pPr>
              <w:rPr>
                <w:rFonts w:ascii="Proxima Nova" w:cs="Proxima Nova" w:eastAsia="Proxima Nova" w:hAnsi="Proxima Nova"/>
                <w:sz w:val="16"/>
                <w:szCs w:val="16"/>
              </w:rPr>
            </w:pPr>
            <w:r w:rsidDel="00000000" w:rsidR="00000000" w:rsidRPr="00000000">
              <w:rPr>
                <w:rFonts w:ascii="Proxima Nova" w:cs="Proxima Nova" w:eastAsia="Proxima Nova" w:hAnsi="Proxima Nova"/>
                <w:sz w:val="16"/>
                <w:szCs w:val="16"/>
                <w:rtl w:val="0"/>
              </w:rPr>
              <w:t xml:space="preserve">Les accommodements raisonnables s’appliquent généralement au cas par cas, souvent en réponse à un besoin individuel. Ils sont nécessaires lorsque l’environnement n’est pas accessible. Ainsi, plus l’environnement est accessible, moins on a besoin de recourir aux accommodements raisonnables.</w:t>
            </w:r>
            <w:r w:rsidDel="00000000" w:rsidR="00000000" w:rsidRPr="00000000">
              <w:rPr>
                <w:rtl w:val="0"/>
              </w:rPr>
            </w:r>
          </w:p>
        </w:tc>
        <w:tc>
          <w:tcPr>
            <w:vMerge w:val="restart"/>
            <w:tcBorders>
              <w:top w:color="000000" w:space="0" w:sz="8"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3C">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Frais de transport des personnes en situation de handicap et de leurs accompagnateur·trices, le cas échéant</w:t>
            </w:r>
          </w:p>
        </w:tc>
        <w:tc>
          <w:tcPr>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Réunions avec le gouvernement et d’autres partenaires</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8"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Formations pour les personnes en situation de handicap</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8"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Séances de sensibilisation menées par des personnes en situation de handicap</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8"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Services de consultation</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8"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Collecte de données</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8"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6" w:val="single"/>
              <w:right w:color="000000" w:space="0" w:sz="4" w:val="single"/>
            </w:tcBorders>
            <w:vAlign w:val="bottom"/>
          </w:tcPr>
          <w:p w:rsidR="00000000" w:rsidDel="00000000" w:rsidP="00000000" w:rsidRDefault="00000000" w:rsidRPr="00000000" w14:paraId="0000004C">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Recrutement de personnes en situation de handicap pour le projet</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restart"/>
            <w:tcBorders>
              <w:top w:color="000000" w:space="0" w:sz="0" w:val="nil"/>
              <w:left w:color="000000" w:space="0" w:sz="4" w:val="single"/>
              <w:bottom w:color="000000" w:space="0" w:sz="6" w:val="single"/>
              <w:right w:color="000000" w:space="0" w:sz="4" w:val="single"/>
            </w:tcBorders>
            <w:vAlign w:val="center"/>
          </w:tcPr>
          <w:p w:rsidR="00000000" w:rsidDel="00000000" w:rsidP="00000000" w:rsidRDefault="00000000" w:rsidRPr="00000000" w14:paraId="0000004E">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Interprètes en langue des signes</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Réunions avec le gouvernement et d’autres partenaires</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6" w:val="single"/>
              <w:right w:color="000000" w:space="0" w:sz="4" w:val="single"/>
            </w:tcBorders>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Formations pour les personnes en situation de handicap</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6" w:val="single"/>
              <w:right w:color="000000" w:space="0" w:sz="4" w:val="single"/>
            </w:tcBorders>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Séances de sensibilisation menées par des personnes en situation de handicap</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6" w:val="single"/>
              <w:right w:color="000000" w:space="0" w:sz="4" w:val="single"/>
            </w:tcBorders>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Services de consultation</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6" w:val="single"/>
              <w:right w:color="000000" w:space="0" w:sz="4" w:val="single"/>
            </w:tcBorders>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Collecte de données</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6" w:val="single"/>
              <w:right w:color="000000" w:space="0" w:sz="4" w:val="single"/>
            </w:tcBorders>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6" w:val="single"/>
              <w:right w:color="000000" w:space="0" w:sz="4" w:val="single"/>
            </w:tcBorders>
            <w:vAlign w:val="center"/>
          </w:tcPr>
          <w:p w:rsidR="00000000" w:rsidDel="00000000" w:rsidP="00000000" w:rsidRDefault="00000000" w:rsidRPr="00000000" w14:paraId="0000005E">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Recrutement de personnes en situation de handicap pour le projet</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restart"/>
            <w:tcBorders>
              <w:top w:color="000000" w:space="0" w:sz="0" w:val="nil"/>
              <w:left w:color="000000" w:space="0" w:sz="4" w:val="single"/>
              <w:bottom w:color="000000" w:space="0" w:sz="6" w:val="single"/>
              <w:right w:color="000000" w:space="0" w:sz="4" w:val="single"/>
            </w:tcBorders>
            <w:vAlign w:val="center"/>
          </w:tcPr>
          <w:p w:rsidR="00000000" w:rsidDel="00000000" w:rsidP="00000000" w:rsidRDefault="00000000" w:rsidRPr="00000000" w14:paraId="00000060">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Lieux accessibles</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Réunions</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6" w:val="single"/>
              <w:right w:color="000000" w:space="0" w:sz="4" w:val="single"/>
            </w:tcBorders>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6" w:val="single"/>
              <w:right w:color="000000" w:space="0" w:sz="4" w:val="single"/>
            </w:tcBorders>
            <w:vAlign w:val="center"/>
          </w:tcPr>
          <w:p w:rsidR="00000000" w:rsidDel="00000000" w:rsidP="00000000" w:rsidRDefault="00000000" w:rsidRPr="00000000" w14:paraId="00000064">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Formation </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Matériel technique accessible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Matériel, y compris les diagrammes et autres éléments visuels, lisibles par un logiciel de lecture d’écran</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Texte alternatif pour les photos et les éléments visuels</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Langage simple et inclusif</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70">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Différents formats, par exemple, grandes impressions, versions facilement lisibles</w:t>
            </w:r>
          </w:p>
        </w:tc>
      </w:tr>
      <w:tr>
        <w:trPr>
          <w:cantSplit w:val="0"/>
          <w:trHeight w:val="360" w:hRule="atLeast"/>
          <w:tblHeader w:val="0"/>
        </w:trPr>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72">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Événements en ligne accessibles</w:t>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073">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Sous-titrage, interprétation en langue des signes, traduction dans différentes langues</w:t>
            </w:r>
          </w:p>
        </w:tc>
      </w:tr>
      <w:tr>
        <w:trPr>
          <w:cantSplit w:val="0"/>
          <w:trHeight w:val="767.958984375" w:hRule="atLeast"/>
          <w:tblHeader w:val="0"/>
        </w:trPr>
        <w:tc>
          <w:tcPr>
            <w:vMerge w:val="restart"/>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074">
            <w:pPr>
              <w:jc w:val="cente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Activités ciblées</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Événements de sensibilisation au handicap</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Communautés et autres parties prenantes</w:t>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78">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Réunions</w:t>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79">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Développement de partenariats</w:t>
            </w:r>
          </w:p>
        </w:tc>
      </w:tr>
      <w:tr>
        <w:trPr>
          <w:cantSplit w:val="0"/>
          <w:trHeight w:val="360" w:hRule="atLeast"/>
          <w:tblHeader w:val="0"/>
        </w:trPr>
        <w:tc>
          <w:tcPr>
            <w:vMerge w:val="continue"/>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000000"/>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7B">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Formation</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Développement des capacités des OPH et des groupes d’entraide</w:t>
            </w:r>
          </w:p>
        </w:tc>
      </w:tr>
      <w:tr>
        <w:trPr>
          <w:cantSplit w:val="0"/>
          <w:trHeight w:val="210" w:hRule="atLeast"/>
          <w:tblHeader w:val="0"/>
        </w:trPr>
        <w:tc>
          <w:tcPr>
            <w:vMerge w:val="restart"/>
            <w:tcBorders>
              <w:top w:color="000000" w:space="0" w:sz="8"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07D">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Ressources humaines</w:t>
            </w:r>
          </w:p>
        </w:tc>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07E">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Soutien aux activités, par exemple, audits d’accessibilité</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7F">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Mis en œuvre par les OPH et les groupes d’entraide</w:t>
            </w:r>
          </w:p>
        </w:tc>
      </w:tr>
      <w:tr>
        <w:trPr>
          <w:cantSplit w:val="0"/>
          <w:trHeight w:val="360" w:hRule="atLeast"/>
          <w:tblHeader w:val="0"/>
        </w:trPr>
        <w:tc>
          <w:tcPr>
            <w:vMerge w:val="continue"/>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spacing w:after="0" w:before="0" w:line="240" w:lineRule="auto"/>
              <w:ind w:left="0" w:firstLine="0"/>
              <w:rPr>
                <w:rFonts w:ascii="Proxima Nova" w:cs="Proxima Nova" w:eastAsia="Proxima Nova" w:hAnsi="Proxima Nova"/>
                <w:sz w:val="21"/>
                <w:szCs w:val="2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81">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Responsable de l’inclusion des personnes en situation de handicap</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rPr>
                <w:rFonts w:ascii="Proxima Nova" w:cs="Proxima Nova" w:eastAsia="Proxima Nova" w:hAnsi="Proxima Nova"/>
                <w:sz w:val="21"/>
                <w:szCs w:val="21"/>
              </w:rPr>
            </w:pPr>
            <w:r w:rsidDel="00000000" w:rsidR="00000000" w:rsidRPr="00000000">
              <w:rPr>
                <w:rFonts w:ascii="Proxima Nova" w:cs="Proxima Nova" w:eastAsia="Proxima Nova" w:hAnsi="Proxima Nova"/>
                <w:sz w:val="21"/>
                <w:szCs w:val="21"/>
                <w:rtl w:val="0"/>
              </w:rPr>
              <w:t xml:space="preserve">Expertise en matière d’inclusion des personnes en situation de handicap pour le projet</w:t>
            </w:r>
          </w:p>
        </w:tc>
      </w:tr>
    </w:tbl>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pStyle w:val="Heading4"/>
        <w:rPr/>
      </w:pPr>
      <w:bookmarkStart w:colFirst="0" w:colLast="0" w:name="_heading=h.u82otnqguvt7" w:id="4"/>
      <w:bookmarkEnd w:id="4"/>
      <w:r w:rsidDel="00000000" w:rsidR="00000000" w:rsidRPr="00000000">
        <w:rPr>
          <w:rtl w:val="0"/>
        </w:rPr>
        <w:t xml:space="preserve">Ressource supplémentaire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numPr>
          <w:ilvl w:val="0"/>
          <w:numId w:val="6"/>
        </w:numPr>
        <w:spacing w:after="200" w:line="252.00000000000003" w:lineRule="auto"/>
        <w:ind w:left="720" w:hanging="360"/>
        <w:rPr>
          <w:rFonts w:ascii="Aptos" w:cs="Aptos" w:eastAsia="Aptos" w:hAnsi="Aptos"/>
          <w:color w:val="3a4888"/>
          <w:sz w:val="22"/>
          <w:szCs w:val="22"/>
        </w:rPr>
      </w:pPr>
      <w:hyperlink r:id="rId11">
        <w:r w:rsidDel="00000000" w:rsidR="00000000" w:rsidRPr="00000000">
          <w:rPr>
            <w:rFonts w:ascii="Aptos" w:cs="Aptos" w:eastAsia="Aptos" w:hAnsi="Aptos"/>
            <w:color w:val="3a4888"/>
            <w:sz w:val="22"/>
            <w:szCs w:val="22"/>
            <w:u w:val="single"/>
            <w:rtl w:val="0"/>
          </w:rPr>
          <w:t xml:space="preserve">UNHCR. Fiche conseil pour budgéter l’inclusion des personnes en situation de handicap</w:t>
        </w:r>
      </w:hyperlink>
      <w:r w:rsidDel="00000000" w:rsidR="00000000" w:rsidRPr="00000000">
        <w:rPr>
          <w:rtl w:val="0"/>
        </w:rPr>
      </w:r>
    </w:p>
    <w:p w:rsidR="00000000" w:rsidDel="00000000" w:rsidP="00000000" w:rsidRDefault="00000000" w:rsidRPr="00000000" w14:paraId="00000087">
      <w:pPr>
        <w:pStyle w:val="Heading2"/>
        <w:spacing w:after="200" w:line="252.00000000000003" w:lineRule="auto"/>
        <w:rPr/>
      </w:pPr>
      <w:bookmarkStart w:colFirst="0" w:colLast="0" w:name="_heading=h.4sw78la977uo" w:id="5"/>
      <w:bookmarkEnd w:id="5"/>
      <w:r w:rsidDel="00000000" w:rsidR="00000000" w:rsidRPr="00000000">
        <w:rPr>
          <w:rtl w:val="0"/>
        </w:rPr>
        <w:t xml:space="preserve">Données</w:t>
      </w:r>
    </w:p>
    <w:p w:rsidR="00000000" w:rsidDel="00000000" w:rsidP="00000000" w:rsidRDefault="00000000" w:rsidRPr="00000000" w14:paraId="00000088">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Les données sont essentielles pour refléter avec justesse les réalités des personnes en situation de handicap et pour influencer la prise de décision. La collecte de données de qualité est également une étape indispensable au suivi et à l’évaluation des programmes. En identifiant qui bénéficie des programmes et qui n’en bénéficie pas, les organisations peuvent adapter et améliorer les activités des projets pour qu’elles soient plus inclusives. </w:t>
      </w:r>
    </w:p>
    <w:p w:rsidR="00000000" w:rsidDel="00000000" w:rsidP="00000000" w:rsidRDefault="00000000" w:rsidRPr="00000000" w14:paraId="00000089">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8A">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L’approche recommandée pour identifier les personnes en situation de handicap, recueillir des données quantitatives et les ventiler consiste à utiliser les</w:t>
      </w:r>
      <w:hyperlink r:id="rId12">
        <w:r w:rsidDel="00000000" w:rsidR="00000000" w:rsidRPr="00000000">
          <w:rPr>
            <w:rFonts w:ascii="Proxima Nova" w:cs="Proxima Nova" w:eastAsia="Proxima Nova" w:hAnsi="Proxima Nova"/>
            <w:color w:val="0563c1"/>
            <w:sz w:val="22"/>
            <w:szCs w:val="22"/>
            <w:rtl w:val="0"/>
          </w:rPr>
          <w:t xml:space="preserve"> </w:t>
        </w:r>
      </w:hyperlink>
      <w:hyperlink r:id="rId13">
        <w:r w:rsidDel="00000000" w:rsidR="00000000" w:rsidRPr="00000000">
          <w:rPr>
            <w:rFonts w:ascii="Proxima Nova" w:cs="Proxima Nova" w:eastAsia="Proxima Nova" w:hAnsi="Proxima Nova"/>
            <w:color w:val="3a4888"/>
            <w:sz w:val="22"/>
            <w:szCs w:val="22"/>
            <w:u w:val="single"/>
            <w:rtl w:val="0"/>
          </w:rPr>
          <w:t xml:space="preserve">questions élaborées par le Groupe de Washington</w:t>
        </w:r>
      </w:hyperlink>
      <w:r w:rsidDel="00000000" w:rsidR="00000000" w:rsidRPr="00000000">
        <w:rPr>
          <w:rFonts w:ascii="Proxima Nova" w:cs="Proxima Nova" w:eastAsia="Proxima Nova" w:hAnsi="Proxima Nova"/>
          <w:sz w:val="22"/>
          <w:szCs w:val="22"/>
          <w:rtl w:val="0"/>
        </w:rPr>
        <w:t xml:space="preserve">, qui sont fondées sur le modèle social du handicap.</w:t>
      </w:r>
    </w:p>
    <w:p w:rsidR="00000000" w:rsidDel="00000000" w:rsidP="00000000" w:rsidRDefault="00000000" w:rsidRPr="00000000" w14:paraId="0000008B">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8C">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Le Groupe de Washington propose différents ensembles de questions, allant d’un ensemble restreint de six questions à des questionnaires plus détaillés, notamment pour les enfants. Ces questions portent sur les difficultés que peuvent éprouver les personnes au quotidien. L’ensemble restreint, présenté dans le tableau ci-dessous, comprend trois éléments : (1) l’énoncé introductif; (2) six questions; et (3) un choix de quatre réponses pour chaque question. </w:t>
      </w:r>
    </w:p>
    <w:p w:rsidR="00000000" w:rsidDel="00000000" w:rsidP="00000000" w:rsidRDefault="00000000" w:rsidRPr="00000000" w14:paraId="0000008D">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Pr>
        <mc:AlternateContent>
          <mc:Choice Requires="wpg">
            <w:drawing>
              <wp:inline distB="114300" distT="114300" distL="114300" distR="114300">
                <wp:extent cx="6400800" cy="2818121"/>
                <wp:effectExtent b="0" l="0" r="0" t="0"/>
                <wp:docPr id="2060985744" name=""/>
                <a:graphic>
                  <a:graphicData uri="http://schemas.microsoft.com/office/word/2010/wordprocessingGroup">
                    <wpg:wgp>
                      <wpg:cNvGrpSpPr/>
                      <wpg:grpSpPr>
                        <a:xfrm>
                          <a:off x="0" y="942975"/>
                          <a:ext cx="6400800" cy="2818121"/>
                          <a:chOff x="0" y="942975"/>
                          <a:chExt cx="9649175" cy="4250075"/>
                        </a:xfrm>
                      </wpg:grpSpPr>
                      <wpg:graphicFrame>
                        <wpg:xfrm>
                          <a:off x="9" y="952506"/>
                          <a:ext cx="3000000" cy="3000000"/>
                        </wpg:xfrm>
                        <a:graphic>
                          <a:graphicData uri="http://schemas.openxmlformats.org/drawingml/2006/table">
                            <a:tbl>
                              <a:tblPr bandRow="1" firstRow="1">
                                <a:noFill/>
                                <a:tableStyleId>{5A1C276A-5A17-45CF-9926-C8AFE2FB42DB}</a:tableStyleId>
                              </a:tblPr>
                              <a:tblGrid>
                                <a:gridCol w="5282525"/>
                                <a:gridCol w="2071825"/>
                                <a:gridCol w="2285275"/>
                              </a:tblGrid>
                              <a:tr h="740650">
                                <a:tc gridSpan="3">
                                  <a:txBody>
                                    <a:bodyPr/>
                                    <a:lstStyle/>
                                    <a:p>
                                      <a:pPr indent="0" lvl="0" marL="0" marR="0" rtl="0" algn="l">
                                        <a:spcBef>
                                          <a:spcPts val="0"/>
                                        </a:spcBef>
                                        <a:spcAft>
                                          <a:spcPts val="0"/>
                                        </a:spcAft>
                                        <a:buNone/>
                                      </a:pPr>
                                      <a:r>
                                        <a:rPr i="0" lang="en-US" sz="1300" u="none" cap="none" strike="noStrike">
                                          <a:solidFill>
                                            <a:srgbClr val="000000"/>
                                          </a:solidFill>
                                          <a:latin typeface="Arial"/>
                                          <a:ea typeface="Arial"/>
                                          <a:cs typeface="Arial"/>
                                          <a:sym typeface="Arial"/>
                                        </a:rPr>
                                        <a:t>Les questions suivantes portent sur les difficultés que vous pouvez éprouver dans le cadre de certaines activités en raison d’un PROBLÈME DE SANTÉ.</a:t>
                                      </a:r>
                                      <a:r>
                                        <a:rPr i="0" lang="en-US" sz="1000" u="none" cap="none" strike="noStrike">
                                          <a:solidFill>
                                            <a:srgbClr val="000000"/>
                                          </a:solidFill>
                                          <a:latin typeface="Arial"/>
                                          <a:ea typeface="Arial"/>
                                          <a:cs typeface="Arial"/>
                                          <a:sym typeface="Arial"/>
                                        </a:rPr>
                                        <a:t> </a:t>
                                      </a:r>
                                      <a:endParaRPr sz="1000">
                                        <a:solidFill>
                                          <a:srgbClr val="000000"/>
                                        </a:solidFill>
                                        <a:latin typeface="Arial"/>
                                        <a:ea typeface="Arial"/>
                                        <a:cs typeface="Arial"/>
                                        <a:sym typeface="Arial"/>
                                      </a:endParaRPr>
                                    </a:p>
                                  </a:txBody>
                                  <a:tcPr marT="154800" marB="45725" marR="91450" marL="91450">
                                    <a:lnL cap="flat" cmpd="sng" w="19050">
                                      <a:solidFill>
                                        <a:srgbClr val="000000"/>
                                      </a:solidFill>
                                      <a:prstDash val="solid"/>
                                      <a:round/>
                                      <a:headEnd len="sm" w="sm" type="none"/>
                                      <a:tailEnd len="sm" w="sm" type="none"/>
                                    </a:lnL>
                                    <a:lnR cap="flat" cmpd="sng" w="19050">
                                      <a:solidFill>
                                        <a:srgbClr val="000000"/>
                                      </a:solidFill>
                                      <a:prstDash val="solid"/>
                                      <a:round/>
                                      <a:headEnd len="sm" w="sm" type="none"/>
                                      <a:tailEnd len="sm" w="sm" type="none"/>
                                    </a:lnR>
                                    <a:lnT cap="flat" cmpd="sng" w="19050">
                                      <a:solidFill>
                                        <a:srgbClr val="000000"/>
                                      </a:solidFill>
                                      <a:prstDash val="solid"/>
                                      <a:round/>
                                      <a:headEnd len="sm" w="sm" type="none"/>
                                      <a:tailEnd len="sm" w="sm" type="none"/>
                                    </a:lnT>
                                    <a:lnB cap="flat" cmpd="sng" w="12700">
                                      <a:solidFill>
                                        <a:srgbClr val="000000"/>
                                      </a:solidFill>
                                      <a:prstDash val="solid"/>
                                      <a:round/>
                                      <a:headEnd len="sm" w="sm" type="none"/>
                                      <a:tailEnd len="sm" w="sm" type="none"/>
                                    </a:lnB>
                                    <a:solidFill>
                                      <a:srgbClr val="D0CECE"/>
                                    </a:solidFill>
                                  </a:tcPr>
                                </a:tc>
                                <a:tc hMerge="1"/>
                                <a:tc hMerge="1"/>
                              </a:tr>
                              <a:tr h="528825">
                                <a:tc>
                                  <a:txBody>
                                    <a:bodyPr/>
                                    <a:lstStyle/>
                                    <a:p>
                                      <a:pPr indent="0" lvl="0" marL="0" marR="0" rtl="0" algn="l">
                                        <a:spcBef>
                                          <a:spcPts val="0"/>
                                        </a:spcBef>
                                        <a:spcAft>
                                          <a:spcPts val="0"/>
                                        </a:spcAft>
                                        <a:buNone/>
                                      </a:pPr>
                                      <a:r>
                                        <a:rPr i="0" lang="en-US" sz="1100" u="none" strike="noStrike">
                                          <a:solidFill>
                                            <a:srgbClr val="000000"/>
                                          </a:solidFill>
                                          <a:latin typeface="Arial"/>
                                          <a:ea typeface="Arial"/>
                                          <a:cs typeface="Arial"/>
                                          <a:sym typeface="Arial"/>
                                        </a:rPr>
                                        <a:t>Éprouvez-vous des difficultés à voir, même avec des lunettes? </a:t>
                                      </a:r>
                                      <a:endParaRPr sz="700">
                                        <a:latin typeface="Arial"/>
                                        <a:ea typeface="Arial"/>
                                        <a:cs typeface="Arial"/>
                                        <a:sym typeface="Arial"/>
                                      </a:endParaRPr>
                                    </a:p>
                                  </a:txBody>
                                  <a:tcPr marT="180000" marB="0" marR="91450" marL="162000">
                                    <a:lnL cap="flat" cmpd="sng" w="19050">
                                      <a:solidFill>
                                        <a:srgbClr val="000000"/>
                                      </a:solidFill>
                                      <a:prstDash val="solid"/>
                                      <a:round/>
                                      <a:headEnd len="sm" w="sm" type="none"/>
                                      <a:tailEnd len="sm" w="sm" type="none"/>
                                    </a:lnL>
                                    <a:lnR cap="flat" cmpd="sng" w="12700">
                                      <a:solidFill>
                                        <a:srgbClr val="B7B7B7"/>
                                      </a:solidFill>
                                      <a:prstDash val="solid"/>
                                      <a:round/>
                                      <a:headEnd len="sm" w="sm" type="none"/>
                                      <a:tailEnd len="sm" w="sm" type="none"/>
                                    </a:lnR>
                                    <a:lnT cap="flat" cmpd="sng" w="12700">
                                      <a:solidFill>
                                        <a:srgbClr val="000000"/>
                                      </a:solidFill>
                                      <a:prstDash val="solid"/>
                                      <a:round/>
                                      <a:headEnd len="sm" w="sm" type="none"/>
                                      <a:tailEnd len="sm" w="sm" type="none"/>
                                    </a:lnT>
                                    <a:lnB cap="flat" cmpd="sng" w="12700">
                                      <a:solidFill>
                                        <a:srgbClr val="B7B7B7"/>
                                      </a:solidFill>
                                      <a:prstDash val="solid"/>
                                      <a:round/>
                                      <a:headEnd len="sm" w="sm" type="none"/>
                                      <a:tailEnd len="sm" w="sm" type="none"/>
                                    </a:lnB>
                                    <a:solidFill>
                                      <a:srgbClr val="FFFFFF"/>
                                    </a:solidFill>
                                  </a:tcPr>
                                </a:tc>
                                <a:tc>
                                  <a:txBody>
                                    <a:bodyPr/>
                                    <a:lstStyle/>
                                    <a:p>
                                      <a:pPr indent="-298450" lvl="0" marL="457200" marR="0" rtl="0" algn="l">
                                        <a:spcBef>
                                          <a:spcPts val="0"/>
                                        </a:spcBef>
                                        <a:spcAft>
                                          <a:spcPts val="0"/>
                                        </a:spcAft>
                                        <a:buClr>
                                          <a:srgbClr val="000000"/>
                                        </a:buClr>
                                        <a:buSzPts val="1100"/>
                                        <a:buChar char="❏"/>
                                      </a:pPr>
                                      <a:r>
                                        <a:rPr i="0" lang="en-US" sz="1100" u="none" strike="noStrike">
                                          <a:solidFill>
                                            <a:srgbClr val="000000"/>
                                          </a:solidFill>
                                          <a:latin typeface="Arial"/>
                                          <a:ea typeface="Arial"/>
                                          <a:cs typeface="Arial"/>
                                          <a:sym typeface="Arial"/>
                                        </a:rPr>
                                        <a:t>Non, pas du tout. </a:t>
                                      </a:r>
                                      <a:endParaRPr sz="900">
                                        <a:latin typeface="Arial"/>
                                        <a:ea typeface="Arial"/>
                                        <a:cs typeface="Arial"/>
                                        <a:sym typeface="Arial"/>
                                      </a:endParaRPr>
                                    </a:p>
                                    <a:p>
                                      <a:pPr indent="-298450" lvl="0" marL="457200" marR="0" rtl="0" algn="l">
                                        <a:spcBef>
                                          <a:spcPts val="0"/>
                                        </a:spcBef>
                                        <a:spcAft>
                                          <a:spcPts val="0"/>
                                        </a:spcAft>
                                        <a:buClr>
                                          <a:srgbClr val="000000"/>
                                        </a:buClr>
                                        <a:buSzPts val="1100"/>
                                        <a:buChar char="❏"/>
                                      </a:pPr>
                                      <a:r>
                                        <a:rPr i="0" lang="en-US" sz="1100" u="none" strike="noStrike">
                                          <a:solidFill>
                                            <a:srgbClr val="000000"/>
                                          </a:solidFill>
                                          <a:latin typeface="Arial"/>
                                          <a:ea typeface="Arial"/>
                                          <a:cs typeface="Arial"/>
                                          <a:sym typeface="Arial"/>
                                        </a:rPr>
                                        <a:t>Oui, un peu. </a:t>
                                      </a:r>
                                      <a:endParaRPr sz="1100">
                                        <a:solidFill>
                                          <a:srgbClr val="000000"/>
                                        </a:solidFill>
                                        <a:latin typeface="Arial"/>
                                        <a:ea typeface="Arial"/>
                                        <a:cs typeface="Arial"/>
                                        <a:sym typeface="Arial"/>
                                      </a:endParaRPr>
                                    </a:p>
                                  </a:txBody>
                                  <a:tcPr marT="118800" marB="0" marR="91450" marL="234000">
                                    <a:lnL cap="flat" cmpd="sng" w="12700">
                                      <a:solidFill>
                                        <a:srgbClr val="B7B7B7"/>
                                      </a:solidFill>
                                      <a:prstDash val="solid"/>
                                      <a:round/>
                                      <a:headEnd len="sm" w="sm" type="none"/>
                                      <a:tailEnd len="sm" w="sm" type="none"/>
                                    </a:lnL>
                                    <a:lnR cap="flat" cmpd="sng" w="12700">
                                      <a:solidFill>
                                        <a:srgbClr val="B7B7B7"/>
                                      </a:solidFill>
                                      <a:prstDash val="solid"/>
                                      <a:round/>
                                      <a:headEnd len="sm" w="sm" type="none"/>
                                      <a:tailEnd len="sm" w="sm" type="none"/>
                                    </a:lnR>
                                    <a:lnT cap="flat" cmpd="sng" w="12700">
                                      <a:solidFill>
                                        <a:srgbClr val="000000"/>
                                      </a:solidFill>
                                      <a:prstDash val="solid"/>
                                      <a:round/>
                                      <a:headEnd len="sm" w="sm" type="none"/>
                                      <a:tailEnd len="sm" w="sm" type="none"/>
                                    </a:lnT>
                                    <a:lnB cap="flat" cmpd="sng" w="12700">
                                      <a:solidFill>
                                        <a:srgbClr val="B7B7B7"/>
                                      </a:solidFill>
                                      <a:prstDash val="solid"/>
                                      <a:round/>
                                      <a:headEnd len="sm" w="sm" type="none"/>
                                      <a:tailEnd len="sm" w="sm" type="none"/>
                                    </a:lnB>
                                    <a:solidFill>
                                      <a:srgbClr val="FFFFFF"/>
                                    </a:solidFill>
                                  </a:tcPr>
                                </a:tc>
                                <a:tc>
                                  <a:txBody>
                                    <a:bodyPr/>
                                    <a:lstStyle/>
                                    <a:p>
                                      <a:pPr indent="-298450" lvl="0" marL="457200" marR="0" rtl="0" algn="l">
                                        <a:spcBef>
                                          <a:spcPts val="0"/>
                                        </a:spcBef>
                                        <a:spcAft>
                                          <a:spcPts val="0"/>
                                        </a:spcAft>
                                        <a:buClr>
                                          <a:srgbClr val="000000"/>
                                        </a:buClr>
                                        <a:buSzPts val="1100"/>
                                        <a:buChar char="❏"/>
                                      </a:pPr>
                                      <a:r>
                                        <a:rPr i="0" lang="en-US" sz="1100" u="none" strike="noStrike">
                                          <a:solidFill>
                                            <a:srgbClr val="000000"/>
                                          </a:solidFill>
                                          <a:latin typeface="Arial"/>
                                          <a:ea typeface="Arial"/>
                                          <a:cs typeface="Arial"/>
                                          <a:sym typeface="Arial"/>
                                        </a:rPr>
                                        <a:t>Oui, beaucoup. </a:t>
                                      </a:r>
                                      <a:endParaRPr sz="900">
                                        <a:latin typeface="Arial"/>
                                        <a:ea typeface="Arial"/>
                                        <a:cs typeface="Arial"/>
                                        <a:sym typeface="Arial"/>
                                      </a:endParaRPr>
                                    </a:p>
                                    <a:p>
                                      <a:pPr indent="-298450" lvl="0" marL="457200" marR="0" rtl="0" algn="l">
                                        <a:spcBef>
                                          <a:spcPts val="0"/>
                                        </a:spcBef>
                                        <a:spcAft>
                                          <a:spcPts val="0"/>
                                        </a:spcAft>
                                        <a:buClr>
                                          <a:srgbClr val="000000"/>
                                        </a:buClr>
                                        <a:buSzPts val="1100"/>
                                        <a:buChar char="❏"/>
                                      </a:pPr>
                                      <a:r>
                                        <a:rPr i="0" lang="en-US" sz="1100" u="none" strike="noStrike">
                                          <a:solidFill>
                                            <a:srgbClr val="000000"/>
                                          </a:solidFill>
                                          <a:latin typeface="Arial"/>
                                          <a:ea typeface="Arial"/>
                                          <a:cs typeface="Arial"/>
                                          <a:sym typeface="Arial"/>
                                        </a:rPr>
                                        <a:t>Je ne vois rien du tout. </a:t>
                                      </a:r>
                                      <a:endParaRPr sz="900">
                                        <a:latin typeface="Arial"/>
                                        <a:ea typeface="Arial"/>
                                        <a:cs typeface="Arial"/>
                                        <a:sym typeface="Arial"/>
                                      </a:endParaRPr>
                                    </a:p>
                                  </a:txBody>
                                  <a:tcPr marT="118800" marB="0" marR="0" marL="234000">
                                    <a:lnL cap="flat" cmpd="sng" w="12700">
                                      <a:solidFill>
                                        <a:srgbClr val="B7B7B7"/>
                                      </a:solidFill>
                                      <a:prstDash val="solid"/>
                                      <a:round/>
                                      <a:headEnd len="sm" w="sm" type="none"/>
                                      <a:tailEnd len="sm" w="sm" type="none"/>
                                    </a:lnL>
                                    <a:lnR cap="flat" cmpd="sng" w="19050">
                                      <a:solidFill>
                                        <a:srgbClr val="000000"/>
                                      </a:solidFill>
                                      <a:prstDash val="solid"/>
                                      <a:round/>
                                      <a:headEnd len="sm" w="sm" type="none"/>
                                      <a:tailEnd len="sm" w="sm" type="none"/>
                                    </a:lnR>
                                    <a:lnT cap="flat" cmpd="sng" w="12700">
                                      <a:solidFill>
                                        <a:srgbClr val="000000"/>
                                      </a:solidFill>
                                      <a:prstDash val="solid"/>
                                      <a:round/>
                                      <a:headEnd len="sm" w="sm" type="none"/>
                                      <a:tailEnd len="sm" w="sm" type="none"/>
                                    </a:lnT>
                                    <a:lnB cap="flat" cmpd="sng" w="12700">
                                      <a:solidFill>
                                        <a:srgbClr val="B7B7B7"/>
                                      </a:solidFill>
                                      <a:prstDash val="solid"/>
                                      <a:round/>
                                      <a:headEnd len="sm" w="sm" type="none"/>
                                      <a:tailEnd len="sm" w="sm" type="none"/>
                                    </a:lnB>
                                    <a:solidFill>
                                      <a:srgbClr val="FFFFFF"/>
                                    </a:solidFill>
                                  </a:tcPr>
                                </a:tc>
                              </a:tr>
                              <a:tr h="519475">
                                <a:tc>
                                  <a:txBody>
                                    <a:bodyPr/>
                                    <a:lstStyle/>
                                    <a:p>
                                      <a:pPr indent="0" lvl="0" marL="0" marR="0" rtl="0" algn="l">
                                        <a:spcBef>
                                          <a:spcPts val="0"/>
                                        </a:spcBef>
                                        <a:spcAft>
                                          <a:spcPts val="0"/>
                                        </a:spcAft>
                                        <a:buNone/>
                                      </a:pPr>
                                      <a:r>
                                        <a:rPr i="0" lang="en-US" sz="1100" u="none" strike="noStrike">
                                          <a:solidFill>
                                            <a:srgbClr val="000000"/>
                                          </a:solidFill>
                                          <a:latin typeface="Arial"/>
                                          <a:ea typeface="Arial"/>
                                          <a:cs typeface="Arial"/>
                                          <a:sym typeface="Arial"/>
                                        </a:rPr>
                                        <a:t>Éprouvez-vous des difficultés à entendre, même avec une prothèse auditive?</a:t>
                                      </a:r>
                                      <a:endParaRPr sz="1100">
                                        <a:solidFill>
                                          <a:srgbClr val="000000"/>
                                        </a:solidFill>
                                        <a:latin typeface="Arial"/>
                                        <a:ea typeface="Arial"/>
                                        <a:cs typeface="Arial"/>
                                        <a:sym typeface="Arial"/>
                                      </a:endParaRPr>
                                    </a:p>
                                  </a:txBody>
                                  <a:tcPr marT="180000" marB="0" marR="91450" marL="162000">
                                    <a:lnL cap="flat" cmpd="sng" w="19050">
                                      <a:solidFill>
                                        <a:srgbClr val="000000"/>
                                      </a:solidFill>
                                      <a:prstDash val="solid"/>
                                      <a:round/>
                                      <a:headEnd len="sm" w="sm" type="none"/>
                                      <a:tailEnd len="sm" w="sm" type="none"/>
                                    </a:lnL>
                                    <a:lnR cap="flat" cmpd="sng" w="12700">
                                      <a:solidFill>
                                        <a:srgbClr val="B7B7B7"/>
                                      </a:solidFill>
                                      <a:prstDash val="solid"/>
                                      <a:round/>
                                      <a:headEnd len="sm" w="sm" type="none"/>
                                      <a:tailEnd len="sm" w="sm" type="none"/>
                                    </a:lnR>
                                    <a:lnT cap="flat" cmpd="sng" w="12700">
                                      <a:solidFill>
                                        <a:srgbClr val="B7B7B7"/>
                                      </a:solidFill>
                                      <a:prstDash val="solid"/>
                                      <a:round/>
                                      <a:headEnd len="sm" w="sm" type="none"/>
                                      <a:tailEnd len="sm" w="sm" type="none"/>
                                    </a:lnT>
                                    <a:lnB cap="flat" cmpd="sng" w="12700">
                                      <a:solidFill>
                                        <a:srgbClr val="B7B7B7"/>
                                      </a:solidFill>
                                      <a:prstDash val="solid"/>
                                      <a:round/>
                                      <a:headEnd len="sm" w="sm" type="none"/>
                                      <a:tailEnd len="sm" w="sm" type="none"/>
                                    </a:lnB>
                                    <a:solidFill>
                                      <a:srgbClr val="FFFFFF"/>
                                    </a:solidFill>
                                  </a:tcPr>
                                </a:tc>
                                <a:tc>
                                  <a:txBody>
                                    <a:bodyPr/>
                                    <a:lstStyle/>
                                    <a:p>
                                      <a:pPr indent="-298450" lvl="0" marL="457200" marR="0" rtl="0" algn="l">
                                        <a:spcBef>
                                          <a:spcPts val="0"/>
                                        </a:spcBef>
                                        <a:spcAft>
                                          <a:spcPts val="0"/>
                                        </a:spcAft>
                                        <a:buClr>
                                          <a:srgbClr val="000000"/>
                                        </a:buClr>
                                        <a:buSzPts val="1100"/>
                                        <a:buChar char="❏"/>
                                      </a:pPr>
                                      <a:r>
                                        <a:rPr i="0" lang="en-US" sz="1100" u="none" strike="noStrike">
                                          <a:solidFill>
                                            <a:srgbClr val="000000"/>
                                          </a:solidFill>
                                          <a:latin typeface="Arial"/>
                                          <a:ea typeface="Arial"/>
                                          <a:cs typeface="Arial"/>
                                          <a:sym typeface="Arial"/>
                                        </a:rPr>
                                        <a:t>Non, pas du tout. </a:t>
                                      </a:r>
                                      <a:endParaRPr sz="900">
                                        <a:latin typeface="Arial"/>
                                        <a:ea typeface="Arial"/>
                                        <a:cs typeface="Arial"/>
                                        <a:sym typeface="Arial"/>
                                      </a:endParaRPr>
                                    </a:p>
                                    <a:p>
                                      <a:pPr indent="-298450" lvl="0" marL="457200" marR="0" rtl="0" algn="l">
                                        <a:spcBef>
                                          <a:spcPts val="0"/>
                                        </a:spcBef>
                                        <a:spcAft>
                                          <a:spcPts val="0"/>
                                        </a:spcAft>
                                        <a:buClr>
                                          <a:srgbClr val="000000"/>
                                        </a:buClr>
                                        <a:buSzPts val="1100"/>
                                        <a:buChar char="❏"/>
                                      </a:pPr>
                                      <a:r>
                                        <a:rPr i="0" lang="en-US" sz="1100" u="none" strike="noStrike">
                                          <a:solidFill>
                                            <a:srgbClr val="000000"/>
                                          </a:solidFill>
                                          <a:latin typeface="Arial"/>
                                          <a:ea typeface="Arial"/>
                                          <a:cs typeface="Arial"/>
                                          <a:sym typeface="Arial"/>
                                        </a:rPr>
                                        <a:t>Oui, un peu. </a:t>
                                      </a:r>
                                      <a:endParaRPr sz="1100">
                                        <a:solidFill>
                                          <a:srgbClr val="000000"/>
                                        </a:solidFill>
                                        <a:latin typeface="Arial"/>
                                        <a:ea typeface="Arial"/>
                                        <a:cs typeface="Arial"/>
                                        <a:sym typeface="Arial"/>
                                      </a:endParaRPr>
                                    </a:p>
                                  </a:txBody>
                                  <a:tcPr marT="118800" marB="0" marR="91450" marL="234000">
                                    <a:lnL cap="flat" cmpd="sng" w="12700">
                                      <a:solidFill>
                                        <a:srgbClr val="B7B7B7"/>
                                      </a:solidFill>
                                      <a:prstDash val="solid"/>
                                      <a:round/>
                                      <a:headEnd len="sm" w="sm" type="none"/>
                                      <a:tailEnd len="sm" w="sm" type="none"/>
                                    </a:lnL>
                                    <a:lnR cap="flat" cmpd="sng" w="12700">
                                      <a:solidFill>
                                        <a:srgbClr val="B7B7B7"/>
                                      </a:solidFill>
                                      <a:prstDash val="solid"/>
                                      <a:round/>
                                      <a:headEnd len="sm" w="sm" type="none"/>
                                      <a:tailEnd len="sm" w="sm" type="none"/>
                                    </a:lnR>
                                    <a:lnT cap="flat" cmpd="sng" w="12700">
                                      <a:solidFill>
                                        <a:srgbClr val="B7B7B7"/>
                                      </a:solidFill>
                                      <a:prstDash val="solid"/>
                                      <a:round/>
                                      <a:headEnd len="sm" w="sm" type="none"/>
                                      <a:tailEnd len="sm" w="sm" type="none"/>
                                    </a:lnT>
                                    <a:lnB cap="flat" cmpd="sng" w="12700">
                                      <a:solidFill>
                                        <a:srgbClr val="B7B7B7"/>
                                      </a:solidFill>
                                      <a:prstDash val="solid"/>
                                      <a:round/>
                                      <a:headEnd len="sm" w="sm" type="none"/>
                                      <a:tailEnd len="sm" w="sm" type="none"/>
                                    </a:lnB>
                                    <a:solidFill>
                                      <a:srgbClr val="FFFFFF"/>
                                    </a:solidFill>
                                  </a:tcPr>
                                </a:tc>
                                <a:tc>
                                  <a:txBody>
                                    <a:bodyPr/>
                                    <a:lstStyle/>
                                    <a:p>
                                      <a:pPr indent="-298450" lvl="0" marL="457200" rtl="0" algn="l">
                                        <a:spcBef>
                                          <a:spcPts val="0"/>
                                        </a:spcBef>
                                        <a:spcAft>
                                          <a:spcPts val="0"/>
                                        </a:spcAft>
                                        <a:buClr>
                                          <a:srgbClr val="000000"/>
                                        </a:buClr>
                                        <a:buSzPts val="1100"/>
                                        <a:buChar char="❏"/>
                                      </a:pPr>
                                      <a:r>
                                        <a:rPr lang="en-US" sz="1100">
                                          <a:solidFill>
                                            <a:srgbClr val="000000"/>
                                          </a:solidFill>
                                          <a:latin typeface="Arial"/>
                                          <a:ea typeface="Arial"/>
                                          <a:cs typeface="Arial"/>
                                          <a:sym typeface="Arial"/>
                                        </a:rPr>
                                        <a:t>Oui, beaucoup. </a:t>
                                      </a:r>
                                      <a:endParaRPr sz="900">
                                        <a:solidFill>
                                          <a:srgbClr val="000000"/>
                                        </a:solidFill>
                                        <a:latin typeface="Arial"/>
                                        <a:ea typeface="Arial"/>
                                        <a:cs typeface="Arial"/>
                                        <a:sym typeface="Arial"/>
                                      </a:endParaRPr>
                                    </a:p>
                                    <a:p>
                                      <a:pPr indent="-298450" lvl="0" marL="457200" rtl="0" algn="l">
                                        <a:spcBef>
                                          <a:spcPts val="0"/>
                                        </a:spcBef>
                                        <a:spcAft>
                                          <a:spcPts val="0"/>
                                        </a:spcAft>
                                        <a:buClr>
                                          <a:srgbClr val="000000"/>
                                        </a:buClr>
                                        <a:buSzPts val="1100"/>
                                        <a:buChar char="❏"/>
                                      </a:pPr>
                                      <a:r>
                                        <a:rPr lang="en-US" sz="1100">
                                          <a:solidFill>
                                            <a:srgbClr val="000000"/>
                                          </a:solidFill>
                                          <a:latin typeface="Arial"/>
                                          <a:ea typeface="Arial"/>
                                          <a:cs typeface="Arial"/>
                                          <a:sym typeface="Arial"/>
                                        </a:rPr>
                                        <a:t>Je ne vois rien du tout. </a:t>
                                      </a:r>
                                      <a:endParaRPr sz="1100">
                                        <a:latin typeface="Arial"/>
                                        <a:ea typeface="Arial"/>
                                        <a:cs typeface="Arial"/>
                                        <a:sym typeface="Arial"/>
                                      </a:endParaRPr>
                                    </a:p>
                                  </a:txBody>
                                  <a:tcPr marT="118800" marB="0" marR="0" marL="234000">
                                    <a:lnL cap="flat" cmpd="sng" w="12700">
                                      <a:solidFill>
                                        <a:srgbClr val="B7B7B7"/>
                                      </a:solidFill>
                                      <a:prstDash val="solid"/>
                                      <a:round/>
                                      <a:headEnd len="sm" w="sm" type="none"/>
                                      <a:tailEnd len="sm" w="sm" type="none"/>
                                    </a:lnL>
                                    <a:lnR cap="flat" cmpd="sng" w="19050">
                                      <a:solidFill>
                                        <a:srgbClr val="000000"/>
                                      </a:solidFill>
                                      <a:prstDash val="solid"/>
                                      <a:round/>
                                      <a:headEnd len="sm" w="sm" type="none"/>
                                      <a:tailEnd len="sm" w="sm" type="none"/>
                                    </a:lnR>
                                    <a:lnT cap="flat" cmpd="sng" w="12700">
                                      <a:solidFill>
                                        <a:srgbClr val="B7B7B7"/>
                                      </a:solidFill>
                                      <a:prstDash val="solid"/>
                                      <a:round/>
                                      <a:headEnd len="sm" w="sm" type="none"/>
                                      <a:tailEnd len="sm" w="sm" type="none"/>
                                    </a:lnT>
                                    <a:lnB cap="flat" cmpd="sng" w="12700">
                                      <a:solidFill>
                                        <a:srgbClr val="B7B7B7"/>
                                      </a:solidFill>
                                      <a:prstDash val="solid"/>
                                      <a:round/>
                                      <a:headEnd len="sm" w="sm" type="none"/>
                                      <a:tailEnd len="sm" w="sm" type="none"/>
                                    </a:lnB>
                                    <a:solidFill>
                                      <a:srgbClr val="FFFFFF"/>
                                    </a:solidFill>
                                  </a:tcPr>
                                </a:tc>
                              </a:tr>
                              <a:tr h="594650">
                                <a:tc>
                                  <a:txBody>
                                    <a:bodyPr/>
                                    <a:lstStyle/>
                                    <a:p>
                                      <a:pPr indent="0" lvl="0" marL="0" marR="0" rtl="0" algn="l">
                                        <a:spcBef>
                                          <a:spcPts val="0"/>
                                        </a:spcBef>
                                        <a:spcAft>
                                          <a:spcPts val="0"/>
                                        </a:spcAft>
                                        <a:buNone/>
                                      </a:pPr>
                                      <a:r>
                                        <a:rPr lang="en-US" sz="1100">
                                          <a:solidFill>
                                            <a:srgbClr val="000000"/>
                                          </a:solidFill>
                                          <a:latin typeface="Arial"/>
                                          <a:ea typeface="Arial"/>
                                          <a:cs typeface="Arial"/>
                                          <a:sym typeface="Arial"/>
                                        </a:rPr>
                                        <a:t>Éprouvez-vous des difficultés à marcher ou à monter les escaliers?</a:t>
                                      </a:r>
                                      <a:endParaRPr sz="1100">
                                        <a:solidFill>
                                          <a:srgbClr val="000000"/>
                                        </a:solidFill>
                                        <a:latin typeface="Arial"/>
                                        <a:ea typeface="Arial"/>
                                        <a:cs typeface="Arial"/>
                                        <a:sym typeface="Arial"/>
                                      </a:endParaRPr>
                                    </a:p>
                                  </a:txBody>
                                  <a:tcPr marT="180000" marB="0" marR="91450" marL="162000">
                                    <a:lnL cap="flat" cmpd="sng" w="19050">
                                      <a:solidFill>
                                        <a:srgbClr val="000000"/>
                                      </a:solidFill>
                                      <a:prstDash val="solid"/>
                                      <a:round/>
                                      <a:headEnd len="sm" w="sm" type="none"/>
                                      <a:tailEnd len="sm" w="sm" type="none"/>
                                    </a:lnL>
                                    <a:lnR cap="flat" cmpd="sng" w="12700">
                                      <a:solidFill>
                                        <a:srgbClr val="B7B7B7"/>
                                      </a:solidFill>
                                      <a:prstDash val="solid"/>
                                      <a:round/>
                                      <a:headEnd len="sm" w="sm" type="none"/>
                                      <a:tailEnd len="sm" w="sm" type="none"/>
                                    </a:lnR>
                                    <a:lnT cap="flat" cmpd="sng" w="12700">
                                      <a:solidFill>
                                        <a:srgbClr val="B7B7B7"/>
                                      </a:solidFill>
                                      <a:prstDash val="solid"/>
                                      <a:round/>
                                      <a:headEnd len="sm" w="sm" type="none"/>
                                      <a:tailEnd len="sm" w="sm" type="none"/>
                                    </a:lnT>
                                    <a:lnB cap="flat" cmpd="sng" w="12700">
                                      <a:solidFill>
                                        <a:srgbClr val="B7B7B7"/>
                                      </a:solidFill>
                                      <a:prstDash val="solid"/>
                                      <a:round/>
                                      <a:headEnd len="sm" w="sm" type="none"/>
                                      <a:tailEnd len="sm" w="sm" type="none"/>
                                    </a:lnB>
                                    <a:solidFill>
                                      <a:srgbClr val="FFFFFF"/>
                                    </a:solidFill>
                                  </a:tcPr>
                                </a:tc>
                                <a:tc>
                                  <a:txBody>
                                    <a:bodyPr/>
                                    <a:lstStyle/>
                                    <a:p>
                                      <a:pPr indent="-298450" lvl="0" marL="457200" marR="0" rtl="0" algn="l">
                                        <a:spcBef>
                                          <a:spcPts val="0"/>
                                        </a:spcBef>
                                        <a:spcAft>
                                          <a:spcPts val="0"/>
                                        </a:spcAft>
                                        <a:buClr>
                                          <a:srgbClr val="000000"/>
                                        </a:buClr>
                                        <a:buSzPts val="1100"/>
                                        <a:buChar char="❏"/>
                                      </a:pPr>
                                      <a:r>
                                        <a:rPr i="0" lang="en-US" sz="1100" u="none" strike="noStrike">
                                          <a:solidFill>
                                            <a:srgbClr val="000000"/>
                                          </a:solidFill>
                                          <a:latin typeface="Arial"/>
                                          <a:ea typeface="Arial"/>
                                          <a:cs typeface="Arial"/>
                                          <a:sym typeface="Arial"/>
                                        </a:rPr>
                                        <a:t>Non, pas du tout. </a:t>
                                      </a:r>
                                      <a:endParaRPr sz="900">
                                        <a:latin typeface="Arial"/>
                                        <a:ea typeface="Arial"/>
                                        <a:cs typeface="Arial"/>
                                        <a:sym typeface="Arial"/>
                                      </a:endParaRPr>
                                    </a:p>
                                    <a:p>
                                      <a:pPr indent="-298450" lvl="0" marL="457200" marR="0" rtl="0" algn="l">
                                        <a:spcBef>
                                          <a:spcPts val="0"/>
                                        </a:spcBef>
                                        <a:spcAft>
                                          <a:spcPts val="0"/>
                                        </a:spcAft>
                                        <a:buClr>
                                          <a:srgbClr val="000000"/>
                                        </a:buClr>
                                        <a:buSzPts val="1100"/>
                                        <a:buChar char="❏"/>
                                      </a:pPr>
                                      <a:r>
                                        <a:rPr i="0" lang="en-US" sz="1100" u="none" strike="noStrike">
                                          <a:solidFill>
                                            <a:srgbClr val="000000"/>
                                          </a:solidFill>
                                          <a:latin typeface="Arial"/>
                                          <a:ea typeface="Arial"/>
                                          <a:cs typeface="Arial"/>
                                          <a:sym typeface="Arial"/>
                                        </a:rPr>
                                        <a:t>Oui, un peu. </a:t>
                                      </a:r>
                                      <a:endParaRPr sz="1100">
                                        <a:solidFill>
                                          <a:srgbClr val="000000"/>
                                        </a:solidFill>
                                        <a:latin typeface="Arial"/>
                                        <a:ea typeface="Arial"/>
                                        <a:cs typeface="Arial"/>
                                        <a:sym typeface="Arial"/>
                                      </a:endParaRPr>
                                    </a:p>
                                  </a:txBody>
                                  <a:tcPr marT="118800" marB="0" marR="91450" marL="234000">
                                    <a:lnL cap="flat" cmpd="sng" w="12700">
                                      <a:solidFill>
                                        <a:srgbClr val="B7B7B7"/>
                                      </a:solidFill>
                                      <a:prstDash val="solid"/>
                                      <a:round/>
                                      <a:headEnd len="sm" w="sm" type="none"/>
                                      <a:tailEnd len="sm" w="sm" type="none"/>
                                    </a:lnL>
                                    <a:lnR cap="flat" cmpd="sng" w="12700">
                                      <a:solidFill>
                                        <a:srgbClr val="B7B7B7"/>
                                      </a:solidFill>
                                      <a:prstDash val="solid"/>
                                      <a:round/>
                                      <a:headEnd len="sm" w="sm" type="none"/>
                                      <a:tailEnd len="sm" w="sm" type="none"/>
                                    </a:lnR>
                                    <a:lnT cap="flat" cmpd="sng" w="12700">
                                      <a:solidFill>
                                        <a:srgbClr val="B7B7B7"/>
                                      </a:solidFill>
                                      <a:prstDash val="solid"/>
                                      <a:round/>
                                      <a:headEnd len="sm" w="sm" type="none"/>
                                      <a:tailEnd len="sm" w="sm" type="none"/>
                                    </a:lnT>
                                    <a:lnB cap="flat" cmpd="sng" w="12700">
                                      <a:solidFill>
                                        <a:srgbClr val="B7B7B7"/>
                                      </a:solidFill>
                                      <a:prstDash val="solid"/>
                                      <a:round/>
                                      <a:headEnd len="sm" w="sm" type="none"/>
                                      <a:tailEnd len="sm" w="sm" type="none"/>
                                    </a:lnB>
                                    <a:solidFill>
                                      <a:srgbClr val="FFFFFF"/>
                                    </a:solidFill>
                                  </a:tcPr>
                                </a:tc>
                                <a:tc>
                                  <a:txBody>
                                    <a:bodyPr/>
                                    <a:lstStyle/>
                                    <a:p>
                                      <a:pPr indent="-298450" lvl="0" marL="457200" rtl="0" algn="l">
                                        <a:spcBef>
                                          <a:spcPts val="0"/>
                                        </a:spcBef>
                                        <a:spcAft>
                                          <a:spcPts val="0"/>
                                        </a:spcAft>
                                        <a:buClr>
                                          <a:srgbClr val="000000"/>
                                        </a:buClr>
                                        <a:buSzPts val="1100"/>
                                        <a:buChar char="❏"/>
                                      </a:pPr>
                                      <a:r>
                                        <a:rPr lang="en-US" sz="1100">
                                          <a:solidFill>
                                            <a:srgbClr val="000000"/>
                                          </a:solidFill>
                                          <a:latin typeface="Arial"/>
                                          <a:ea typeface="Arial"/>
                                          <a:cs typeface="Arial"/>
                                          <a:sym typeface="Arial"/>
                                        </a:rPr>
                                        <a:t>Oui, beaucoup. </a:t>
                                      </a:r>
                                      <a:endParaRPr sz="900">
                                        <a:solidFill>
                                          <a:srgbClr val="000000"/>
                                        </a:solidFill>
                                        <a:latin typeface="Arial"/>
                                        <a:ea typeface="Arial"/>
                                        <a:cs typeface="Arial"/>
                                        <a:sym typeface="Arial"/>
                                      </a:endParaRPr>
                                    </a:p>
                                    <a:p>
                                      <a:pPr indent="-298450" lvl="0" marL="457200" rtl="0" algn="l">
                                        <a:spcBef>
                                          <a:spcPts val="0"/>
                                        </a:spcBef>
                                        <a:spcAft>
                                          <a:spcPts val="0"/>
                                        </a:spcAft>
                                        <a:buClr>
                                          <a:srgbClr val="000000"/>
                                        </a:buClr>
                                        <a:buSzPts val="1100"/>
                                        <a:buChar char="❏"/>
                                      </a:pPr>
                                      <a:r>
                                        <a:rPr lang="en-US" sz="1100">
                                          <a:solidFill>
                                            <a:srgbClr val="000000"/>
                                          </a:solidFill>
                                          <a:latin typeface="Arial"/>
                                          <a:ea typeface="Arial"/>
                                          <a:cs typeface="Arial"/>
                                          <a:sym typeface="Arial"/>
                                        </a:rPr>
                                        <a:t>Je ne vois rien du tout. </a:t>
                                      </a:r>
                                      <a:endParaRPr sz="900">
                                        <a:solidFill>
                                          <a:srgbClr val="000000"/>
                                        </a:solidFill>
                                        <a:latin typeface="Arial"/>
                                        <a:ea typeface="Arial"/>
                                        <a:cs typeface="Arial"/>
                                        <a:sym typeface="Arial"/>
                                      </a:endParaRPr>
                                    </a:p>
                                    <a:p>
                                      <a:pPr indent="0" lvl="0" marL="0" marR="0" rtl="0" algn="l">
                                        <a:spcBef>
                                          <a:spcPts val="0"/>
                                        </a:spcBef>
                                        <a:spcAft>
                                          <a:spcPts val="0"/>
                                        </a:spcAft>
                                        <a:buNone/>
                                      </a:pPr>
                                      <a:r>
                                        <a:t/>
                                      </a:r>
                                      <a:endParaRPr sz="1100">
                                        <a:latin typeface="Arial"/>
                                        <a:ea typeface="Arial"/>
                                        <a:cs typeface="Arial"/>
                                        <a:sym typeface="Arial"/>
                                      </a:endParaRPr>
                                    </a:p>
                                  </a:txBody>
                                  <a:tcPr marT="118800" marB="0" marR="0" marL="234000">
                                    <a:lnL cap="flat" cmpd="sng" w="12700">
                                      <a:solidFill>
                                        <a:srgbClr val="B7B7B7"/>
                                      </a:solidFill>
                                      <a:prstDash val="solid"/>
                                      <a:round/>
                                      <a:headEnd len="sm" w="sm" type="none"/>
                                      <a:tailEnd len="sm" w="sm" type="none"/>
                                    </a:lnL>
                                    <a:lnR cap="flat" cmpd="sng" w="19050">
                                      <a:solidFill>
                                        <a:srgbClr val="000000"/>
                                      </a:solidFill>
                                      <a:prstDash val="solid"/>
                                      <a:round/>
                                      <a:headEnd len="sm" w="sm" type="none"/>
                                      <a:tailEnd len="sm" w="sm" type="none"/>
                                    </a:lnR>
                                    <a:lnT cap="flat" cmpd="sng" w="12700">
                                      <a:solidFill>
                                        <a:srgbClr val="B7B7B7"/>
                                      </a:solidFill>
                                      <a:prstDash val="solid"/>
                                      <a:round/>
                                      <a:headEnd len="sm" w="sm" type="none"/>
                                      <a:tailEnd len="sm" w="sm" type="none"/>
                                    </a:lnT>
                                    <a:lnB cap="flat" cmpd="sng" w="12700">
                                      <a:solidFill>
                                        <a:srgbClr val="B7B7B7"/>
                                      </a:solidFill>
                                      <a:prstDash val="solid"/>
                                      <a:round/>
                                      <a:headEnd len="sm" w="sm" type="none"/>
                                      <a:tailEnd len="sm" w="sm" type="none"/>
                                    </a:lnB>
                                    <a:solidFill>
                                      <a:srgbClr val="FFFFFF"/>
                                    </a:solidFill>
                                  </a:tcPr>
                                </a:tc>
                              </a:tr>
                              <a:tr h="644775">
                                <a:tc>
                                  <a:txBody>
                                    <a:bodyPr/>
                                    <a:lstStyle/>
                                    <a:p>
                                      <a:pPr indent="0" lvl="0" marL="0" marR="0" rtl="0" algn="l">
                                        <a:spcBef>
                                          <a:spcPts val="0"/>
                                        </a:spcBef>
                                        <a:spcAft>
                                          <a:spcPts val="0"/>
                                        </a:spcAft>
                                        <a:buNone/>
                                      </a:pPr>
                                      <a:r>
                                        <a:rPr lang="en-US" sz="1100">
                                          <a:solidFill>
                                            <a:srgbClr val="000000"/>
                                          </a:solidFill>
                                          <a:latin typeface="Arial"/>
                                          <a:ea typeface="Arial"/>
                                          <a:cs typeface="Arial"/>
                                          <a:sym typeface="Arial"/>
                                        </a:rPr>
                                        <a:t>Éprouvez-vous des difficultés à vous rappeler certaines choses et à vous concentrer?</a:t>
                                      </a:r>
                                      <a:endParaRPr sz="1100">
                                        <a:solidFill>
                                          <a:srgbClr val="000000"/>
                                        </a:solidFill>
                                        <a:latin typeface="Arial"/>
                                        <a:ea typeface="Arial"/>
                                        <a:cs typeface="Arial"/>
                                        <a:sym typeface="Arial"/>
                                      </a:endParaRPr>
                                    </a:p>
                                  </a:txBody>
                                  <a:tcPr marT="180000" marB="0" marR="91450" marL="162000">
                                    <a:lnL cap="flat" cmpd="sng" w="19050">
                                      <a:solidFill>
                                        <a:srgbClr val="000000"/>
                                      </a:solidFill>
                                      <a:prstDash val="solid"/>
                                      <a:round/>
                                      <a:headEnd len="sm" w="sm" type="none"/>
                                      <a:tailEnd len="sm" w="sm" type="none"/>
                                    </a:lnL>
                                    <a:lnR cap="flat" cmpd="sng" w="12700">
                                      <a:solidFill>
                                        <a:srgbClr val="B7B7B7"/>
                                      </a:solidFill>
                                      <a:prstDash val="solid"/>
                                      <a:round/>
                                      <a:headEnd len="sm" w="sm" type="none"/>
                                      <a:tailEnd len="sm" w="sm" type="none"/>
                                    </a:lnR>
                                    <a:lnT cap="flat" cmpd="sng" w="12700">
                                      <a:solidFill>
                                        <a:srgbClr val="B7B7B7"/>
                                      </a:solidFill>
                                      <a:prstDash val="solid"/>
                                      <a:round/>
                                      <a:headEnd len="sm" w="sm" type="none"/>
                                      <a:tailEnd len="sm" w="sm" type="none"/>
                                    </a:lnT>
                                    <a:lnB cap="flat" cmpd="sng" w="12700">
                                      <a:solidFill>
                                        <a:srgbClr val="B7B7B7"/>
                                      </a:solidFill>
                                      <a:prstDash val="solid"/>
                                      <a:round/>
                                      <a:headEnd len="sm" w="sm" type="none"/>
                                      <a:tailEnd len="sm" w="sm" type="none"/>
                                    </a:lnB>
                                    <a:solidFill>
                                      <a:srgbClr val="FFFFFF"/>
                                    </a:solidFill>
                                  </a:tcPr>
                                </a:tc>
                                <a:tc>
                                  <a:txBody>
                                    <a:bodyPr/>
                                    <a:lstStyle/>
                                    <a:p>
                                      <a:pPr indent="-298450" lvl="0" marL="457200" marR="0" rtl="0" algn="l">
                                        <a:spcBef>
                                          <a:spcPts val="0"/>
                                        </a:spcBef>
                                        <a:spcAft>
                                          <a:spcPts val="0"/>
                                        </a:spcAft>
                                        <a:buClr>
                                          <a:srgbClr val="000000"/>
                                        </a:buClr>
                                        <a:buSzPts val="1100"/>
                                        <a:buChar char="❏"/>
                                      </a:pPr>
                                      <a:r>
                                        <a:rPr lang="en-US" sz="1100">
                                          <a:solidFill>
                                            <a:srgbClr val="000000"/>
                                          </a:solidFill>
                                          <a:latin typeface="Arial"/>
                                          <a:ea typeface="Arial"/>
                                          <a:cs typeface="Arial"/>
                                          <a:sym typeface="Arial"/>
                                        </a:rPr>
                                        <a:t>Non, pas du tout. </a:t>
                                      </a:r>
                                      <a:endParaRPr sz="900">
                                        <a:solidFill>
                                          <a:srgbClr val="000000"/>
                                        </a:solidFill>
                                        <a:latin typeface="Arial"/>
                                        <a:ea typeface="Arial"/>
                                        <a:cs typeface="Arial"/>
                                        <a:sym typeface="Arial"/>
                                      </a:endParaRPr>
                                    </a:p>
                                    <a:p>
                                      <a:pPr indent="-298450" lvl="0" marL="457200" rtl="0" algn="l">
                                        <a:spcBef>
                                          <a:spcPts val="0"/>
                                        </a:spcBef>
                                        <a:spcAft>
                                          <a:spcPts val="0"/>
                                        </a:spcAft>
                                        <a:buClr>
                                          <a:srgbClr val="000000"/>
                                        </a:buClr>
                                        <a:buSzPts val="1100"/>
                                        <a:buChar char="❏"/>
                                      </a:pPr>
                                      <a:r>
                                        <a:rPr lang="en-US" sz="1100">
                                          <a:solidFill>
                                            <a:srgbClr val="000000"/>
                                          </a:solidFill>
                                          <a:latin typeface="Arial"/>
                                          <a:ea typeface="Arial"/>
                                          <a:cs typeface="Arial"/>
                                          <a:sym typeface="Arial"/>
                                        </a:rPr>
                                        <a:t>Oui, un peu.</a:t>
                                      </a:r>
                                      <a:endParaRPr sz="1100">
                                        <a:latin typeface="Arial"/>
                                        <a:ea typeface="Arial"/>
                                        <a:cs typeface="Arial"/>
                                        <a:sym typeface="Arial"/>
                                      </a:endParaRPr>
                                    </a:p>
                                  </a:txBody>
                                  <a:tcPr marT="118800" marB="0" marR="91450" marL="234000">
                                    <a:lnL cap="flat" cmpd="sng" w="12700">
                                      <a:solidFill>
                                        <a:srgbClr val="B7B7B7"/>
                                      </a:solidFill>
                                      <a:prstDash val="solid"/>
                                      <a:round/>
                                      <a:headEnd len="sm" w="sm" type="none"/>
                                      <a:tailEnd len="sm" w="sm" type="none"/>
                                    </a:lnL>
                                    <a:lnR cap="flat" cmpd="sng" w="12700">
                                      <a:solidFill>
                                        <a:srgbClr val="B7B7B7"/>
                                      </a:solidFill>
                                      <a:prstDash val="solid"/>
                                      <a:round/>
                                      <a:headEnd len="sm" w="sm" type="none"/>
                                      <a:tailEnd len="sm" w="sm" type="none"/>
                                    </a:lnR>
                                    <a:lnT cap="flat" cmpd="sng" w="12700">
                                      <a:solidFill>
                                        <a:srgbClr val="B7B7B7"/>
                                      </a:solidFill>
                                      <a:prstDash val="solid"/>
                                      <a:round/>
                                      <a:headEnd len="sm" w="sm" type="none"/>
                                      <a:tailEnd len="sm" w="sm" type="none"/>
                                    </a:lnT>
                                    <a:lnB cap="flat" cmpd="sng" w="12700">
                                      <a:solidFill>
                                        <a:srgbClr val="B7B7B7"/>
                                      </a:solidFill>
                                      <a:prstDash val="solid"/>
                                      <a:round/>
                                      <a:headEnd len="sm" w="sm" type="none"/>
                                      <a:tailEnd len="sm" w="sm" type="none"/>
                                    </a:lnB>
                                    <a:solidFill>
                                      <a:srgbClr val="FFFFFF"/>
                                    </a:solidFill>
                                  </a:tcPr>
                                </a:tc>
                                <a:tc>
                                  <a:txBody>
                                    <a:bodyPr/>
                                    <a:lstStyle/>
                                    <a:p>
                                      <a:pPr indent="-298450" lvl="0" marL="457200" rtl="0" algn="l">
                                        <a:spcBef>
                                          <a:spcPts val="0"/>
                                        </a:spcBef>
                                        <a:spcAft>
                                          <a:spcPts val="0"/>
                                        </a:spcAft>
                                        <a:buClr>
                                          <a:srgbClr val="000000"/>
                                        </a:buClr>
                                        <a:buSzPts val="1100"/>
                                        <a:buChar char="❏"/>
                                      </a:pPr>
                                      <a:r>
                                        <a:rPr lang="en-US" sz="1100">
                                          <a:solidFill>
                                            <a:srgbClr val="000000"/>
                                          </a:solidFill>
                                          <a:latin typeface="Arial"/>
                                          <a:ea typeface="Arial"/>
                                          <a:cs typeface="Arial"/>
                                          <a:sym typeface="Arial"/>
                                        </a:rPr>
                                        <a:t>Oui, beaucoup. </a:t>
                                      </a:r>
                                      <a:endParaRPr sz="900">
                                        <a:solidFill>
                                          <a:srgbClr val="000000"/>
                                        </a:solidFill>
                                        <a:latin typeface="Arial"/>
                                        <a:ea typeface="Arial"/>
                                        <a:cs typeface="Arial"/>
                                        <a:sym typeface="Arial"/>
                                      </a:endParaRPr>
                                    </a:p>
                                    <a:p>
                                      <a:pPr indent="-298450" lvl="0" marL="457200" rtl="0" algn="l">
                                        <a:spcBef>
                                          <a:spcPts val="0"/>
                                        </a:spcBef>
                                        <a:spcAft>
                                          <a:spcPts val="0"/>
                                        </a:spcAft>
                                        <a:buClr>
                                          <a:srgbClr val="000000"/>
                                        </a:buClr>
                                        <a:buSzPts val="1100"/>
                                        <a:buChar char="❏"/>
                                      </a:pPr>
                                      <a:r>
                                        <a:rPr lang="en-US" sz="1100">
                                          <a:solidFill>
                                            <a:srgbClr val="000000"/>
                                          </a:solidFill>
                                          <a:latin typeface="Arial"/>
                                          <a:ea typeface="Arial"/>
                                          <a:cs typeface="Arial"/>
                                          <a:sym typeface="Arial"/>
                                        </a:rPr>
                                        <a:t>Je ne vois rien du tout. </a:t>
                                      </a:r>
                                      <a:endParaRPr sz="900">
                                        <a:solidFill>
                                          <a:srgbClr val="000000"/>
                                        </a:solidFill>
                                        <a:latin typeface="Arial"/>
                                        <a:ea typeface="Arial"/>
                                        <a:cs typeface="Arial"/>
                                        <a:sym typeface="Arial"/>
                                      </a:endParaRPr>
                                    </a:p>
                                    <a:p>
                                      <a:pPr indent="0" lvl="0" marL="0" marR="0" rtl="0" algn="l">
                                        <a:spcBef>
                                          <a:spcPts val="0"/>
                                        </a:spcBef>
                                        <a:spcAft>
                                          <a:spcPts val="0"/>
                                        </a:spcAft>
                                        <a:buNone/>
                                      </a:pPr>
                                      <a:r>
                                        <a:t/>
                                      </a:r>
                                      <a:endParaRPr sz="1100">
                                        <a:latin typeface="Arial"/>
                                        <a:ea typeface="Arial"/>
                                        <a:cs typeface="Arial"/>
                                        <a:sym typeface="Arial"/>
                                      </a:endParaRPr>
                                    </a:p>
                                  </a:txBody>
                                  <a:tcPr marT="118800" marB="0" marR="0" marL="234000">
                                    <a:lnL cap="flat" cmpd="sng" w="12700">
                                      <a:solidFill>
                                        <a:srgbClr val="B7B7B7"/>
                                      </a:solidFill>
                                      <a:prstDash val="solid"/>
                                      <a:round/>
                                      <a:headEnd len="sm" w="sm" type="none"/>
                                      <a:tailEnd len="sm" w="sm" type="none"/>
                                    </a:lnL>
                                    <a:lnR cap="flat" cmpd="sng" w="19050">
                                      <a:solidFill>
                                        <a:srgbClr val="000000"/>
                                      </a:solidFill>
                                      <a:prstDash val="solid"/>
                                      <a:round/>
                                      <a:headEnd len="sm" w="sm" type="none"/>
                                      <a:tailEnd len="sm" w="sm" type="none"/>
                                    </a:lnR>
                                    <a:lnT cap="flat" cmpd="sng" w="12700">
                                      <a:solidFill>
                                        <a:srgbClr val="B7B7B7"/>
                                      </a:solidFill>
                                      <a:prstDash val="solid"/>
                                      <a:round/>
                                      <a:headEnd len="sm" w="sm" type="none"/>
                                      <a:tailEnd len="sm" w="sm" type="none"/>
                                    </a:lnT>
                                    <a:lnB cap="flat" cmpd="sng" w="12700">
                                      <a:solidFill>
                                        <a:srgbClr val="B7B7B7"/>
                                      </a:solidFill>
                                      <a:prstDash val="solid"/>
                                      <a:round/>
                                      <a:headEnd len="sm" w="sm" type="none"/>
                                      <a:tailEnd len="sm" w="sm" type="none"/>
                                    </a:lnB>
                                    <a:solidFill>
                                      <a:srgbClr val="FFFFFF"/>
                                    </a:solidFill>
                                  </a:tcPr>
                                </a:tc>
                              </a:tr>
                              <a:tr h="519450">
                                <a:tc>
                                  <a:txBody>
                                    <a:bodyPr/>
                                    <a:lstStyle/>
                                    <a:p>
                                      <a:pPr indent="0" lvl="0" marL="0" marR="0" rtl="0" algn="l">
                                        <a:spcBef>
                                          <a:spcPts val="0"/>
                                        </a:spcBef>
                                        <a:spcAft>
                                          <a:spcPts val="0"/>
                                        </a:spcAft>
                                        <a:buNone/>
                                      </a:pPr>
                                      <a:r>
                                        <a:rPr lang="en-US" sz="1100">
                                          <a:solidFill>
                                            <a:srgbClr val="000000"/>
                                          </a:solidFill>
                                          <a:latin typeface="Arial"/>
                                          <a:ea typeface="Arial"/>
                                          <a:cs typeface="Arial"/>
                                          <a:sym typeface="Arial"/>
                                        </a:rPr>
                                        <a:t>Éprouvez-vous des difficultés à prendre soin de vous, à vous laver ou à vous habiller, par exemple?</a:t>
                                      </a:r>
                                      <a:endParaRPr sz="1100">
                                        <a:solidFill>
                                          <a:srgbClr val="000000"/>
                                        </a:solidFill>
                                        <a:latin typeface="Arial"/>
                                        <a:ea typeface="Arial"/>
                                        <a:cs typeface="Arial"/>
                                        <a:sym typeface="Arial"/>
                                      </a:endParaRPr>
                                    </a:p>
                                  </a:txBody>
                                  <a:tcPr marT="180000" marB="0" marR="91450" marL="162000">
                                    <a:lnL cap="flat" cmpd="sng" w="19050">
                                      <a:solidFill>
                                        <a:srgbClr val="000000"/>
                                      </a:solidFill>
                                      <a:prstDash val="solid"/>
                                      <a:round/>
                                      <a:headEnd len="sm" w="sm" type="none"/>
                                      <a:tailEnd len="sm" w="sm" type="none"/>
                                    </a:lnL>
                                    <a:lnR cap="flat" cmpd="sng" w="12700">
                                      <a:solidFill>
                                        <a:srgbClr val="B7B7B7"/>
                                      </a:solidFill>
                                      <a:prstDash val="solid"/>
                                      <a:round/>
                                      <a:headEnd len="sm" w="sm" type="none"/>
                                      <a:tailEnd len="sm" w="sm" type="none"/>
                                    </a:lnR>
                                    <a:lnT cap="flat" cmpd="sng" w="12700">
                                      <a:solidFill>
                                        <a:srgbClr val="B7B7B7"/>
                                      </a:solidFill>
                                      <a:prstDash val="solid"/>
                                      <a:round/>
                                      <a:headEnd len="sm" w="sm" type="none"/>
                                      <a:tailEnd len="sm" w="sm" type="none"/>
                                    </a:lnT>
                                    <a:lnB cap="flat" cmpd="sng" w="12700">
                                      <a:solidFill>
                                        <a:srgbClr val="B7B7B7"/>
                                      </a:solidFill>
                                      <a:prstDash val="solid"/>
                                      <a:round/>
                                      <a:headEnd len="sm" w="sm" type="none"/>
                                      <a:tailEnd len="sm" w="sm" type="none"/>
                                    </a:lnB>
                                    <a:solidFill>
                                      <a:srgbClr val="FFFFFF"/>
                                    </a:solidFill>
                                  </a:tcPr>
                                </a:tc>
                                <a:tc>
                                  <a:txBody>
                                    <a:bodyPr/>
                                    <a:lstStyle/>
                                    <a:p>
                                      <a:pPr indent="-298450" lvl="0" marL="457200" rtl="0" algn="l">
                                        <a:spcBef>
                                          <a:spcPts val="0"/>
                                        </a:spcBef>
                                        <a:spcAft>
                                          <a:spcPts val="0"/>
                                        </a:spcAft>
                                        <a:buClr>
                                          <a:srgbClr val="000000"/>
                                        </a:buClr>
                                        <a:buSzPts val="1100"/>
                                        <a:buChar char="❏"/>
                                      </a:pPr>
                                      <a:r>
                                        <a:rPr lang="en-US" sz="1100">
                                          <a:solidFill>
                                            <a:srgbClr val="000000"/>
                                          </a:solidFill>
                                          <a:latin typeface="Arial"/>
                                          <a:ea typeface="Arial"/>
                                          <a:cs typeface="Arial"/>
                                          <a:sym typeface="Arial"/>
                                        </a:rPr>
                                        <a:t>Non, pas du tout. </a:t>
                                      </a:r>
                                      <a:endParaRPr sz="900">
                                        <a:solidFill>
                                          <a:srgbClr val="000000"/>
                                        </a:solidFill>
                                        <a:latin typeface="Arial"/>
                                        <a:ea typeface="Arial"/>
                                        <a:cs typeface="Arial"/>
                                        <a:sym typeface="Arial"/>
                                      </a:endParaRPr>
                                    </a:p>
                                    <a:p>
                                      <a:pPr indent="-298450" lvl="0" marL="457200" rtl="0" algn="l">
                                        <a:spcBef>
                                          <a:spcPts val="0"/>
                                        </a:spcBef>
                                        <a:spcAft>
                                          <a:spcPts val="0"/>
                                        </a:spcAft>
                                        <a:buClr>
                                          <a:srgbClr val="000000"/>
                                        </a:buClr>
                                        <a:buSzPts val="1100"/>
                                        <a:buChar char="❏"/>
                                      </a:pPr>
                                      <a:r>
                                        <a:rPr lang="en-US" sz="1100">
                                          <a:solidFill>
                                            <a:srgbClr val="000000"/>
                                          </a:solidFill>
                                          <a:latin typeface="Arial"/>
                                          <a:ea typeface="Arial"/>
                                          <a:cs typeface="Arial"/>
                                          <a:sym typeface="Arial"/>
                                        </a:rPr>
                                        <a:t>Oui, un peu.</a:t>
                                      </a:r>
                                      <a:endParaRPr sz="1100">
                                        <a:latin typeface="Arial"/>
                                        <a:ea typeface="Arial"/>
                                        <a:cs typeface="Arial"/>
                                        <a:sym typeface="Arial"/>
                                      </a:endParaRPr>
                                    </a:p>
                                  </a:txBody>
                                  <a:tcPr marT="118800" marB="0" marR="91450" marL="234000">
                                    <a:lnL cap="flat" cmpd="sng" w="12700">
                                      <a:solidFill>
                                        <a:srgbClr val="B7B7B7"/>
                                      </a:solidFill>
                                      <a:prstDash val="solid"/>
                                      <a:round/>
                                      <a:headEnd len="sm" w="sm" type="none"/>
                                      <a:tailEnd len="sm" w="sm" type="none"/>
                                    </a:lnL>
                                    <a:lnR cap="flat" cmpd="sng" w="12700">
                                      <a:solidFill>
                                        <a:srgbClr val="B7B7B7"/>
                                      </a:solidFill>
                                      <a:prstDash val="solid"/>
                                      <a:round/>
                                      <a:headEnd len="sm" w="sm" type="none"/>
                                      <a:tailEnd len="sm" w="sm" type="none"/>
                                    </a:lnR>
                                    <a:lnT cap="flat" cmpd="sng" w="12700">
                                      <a:solidFill>
                                        <a:srgbClr val="B7B7B7"/>
                                      </a:solidFill>
                                      <a:prstDash val="solid"/>
                                      <a:round/>
                                      <a:headEnd len="sm" w="sm" type="none"/>
                                      <a:tailEnd len="sm" w="sm" type="none"/>
                                    </a:lnT>
                                    <a:lnB cap="flat" cmpd="sng" w="12700">
                                      <a:solidFill>
                                        <a:srgbClr val="B7B7B7"/>
                                      </a:solidFill>
                                      <a:prstDash val="solid"/>
                                      <a:round/>
                                      <a:headEnd len="sm" w="sm" type="none"/>
                                      <a:tailEnd len="sm" w="sm" type="none"/>
                                    </a:lnB>
                                    <a:solidFill>
                                      <a:srgbClr val="FFFFFF"/>
                                    </a:solidFill>
                                  </a:tcPr>
                                </a:tc>
                                <a:tc>
                                  <a:txBody>
                                    <a:bodyPr/>
                                    <a:lstStyle/>
                                    <a:p>
                                      <a:pPr indent="-298450" lvl="0" marL="457200" rtl="0" algn="l">
                                        <a:spcBef>
                                          <a:spcPts val="0"/>
                                        </a:spcBef>
                                        <a:spcAft>
                                          <a:spcPts val="0"/>
                                        </a:spcAft>
                                        <a:buClr>
                                          <a:srgbClr val="000000"/>
                                        </a:buClr>
                                        <a:buSzPts val="1100"/>
                                        <a:buChar char="❏"/>
                                      </a:pPr>
                                      <a:r>
                                        <a:rPr lang="en-US" sz="1100">
                                          <a:solidFill>
                                            <a:srgbClr val="000000"/>
                                          </a:solidFill>
                                          <a:latin typeface="Arial"/>
                                          <a:ea typeface="Arial"/>
                                          <a:cs typeface="Arial"/>
                                          <a:sym typeface="Arial"/>
                                        </a:rPr>
                                        <a:t>Oui, beaucoup. </a:t>
                                      </a:r>
                                      <a:endParaRPr sz="900">
                                        <a:solidFill>
                                          <a:srgbClr val="000000"/>
                                        </a:solidFill>
                                        <a:latin typeface="Arial"/>
                                        <a:ea typeface="Arial"/>
                                        <a:cs typeface="Arial"/>
                                        <a:sym typeface="Arial"/>
                                      </a:endParaRPr>
                                    </a:p>
                                    <a:p>
                                      <a:pPr indent="-298450" lvl="0" marL="457200" rtl="0" algn="l">
                                        <a:spcBef>
                                          <a:spcPts val="0"/>
                                        </a:spcBef>
                                        <a:spcAft>
                                          <a:spcPts val="0"/>
                                        </a:spcAft>
                                        <a:buClr>
                                          <a:srgbClr val="000000"/>
                                        </a:buClr>
                                        <a:buSzPts val="1100"/>
                                        <a:buChar char="❏"/>
                                      </a:pPr>
                                      <a:r>
                                        <a:rPr lang="en-US" sz="1100">
                                          <a:solidFill>
                                            <a:srgbClr val="000000"/>
                                          </a:solidFill>
                                          <a:latin typeface="Arial"/>
                                          <a:ea typeface="Arial"/>
                                          <a:cs typeface="Arial"/>
                                          <a:sym typeface="Arial"/>
                                        </a:rPr>
                                        <a:t>Je ne vois rien du tout. </a:t>
                                      </a:r>
                                      <a:endParaRPr sz="900">
                                        <a:solidFill>
                                          <a:srgbClr val="000000"/>
                                        </a:solidFill>
                                        <a:latin typeface="Arial"/>
                                        <a:ea typeface="Arial"/>
                                        <a:cs typeface="Arial"/>
                                        <a:sym typeface="Arial"/>
                                      </a:endParaRPr>
                                    </a:p>
                                    <a:p>
                                      <a:pPr indent="0" lvl="0" marL="0" marR="0" rtl="0" algn="l">
                                        <a:spcBef>
                                          <a:spcPts val="0"/>
                                        </a:spcBef>
                                        <a:spcAft>
                                          <a:spcPts val="0"/>
                                        </a:spcAft>
                                        <a:buNone/>
                                      </a:pPr>
                                      <a:r>
                                        <a:t/>
                                      </a:r>
                                      <a:endParaRPr sz="1100">
                                        <a:latin typeface="Arial"/>
                                        <a:ea typeface="Arial"/>
                                        <a:cs typeface="Arial"/>
                                        <a:sym typeface="Arial"/>
                                      </a:endParaRPr>
                                    </a:p>
                                  </a:txBody>
                                  <a:tcPr marT="118800" marB="0" marR="0" marL="234000">
                                    <a:lnL cap="flat" cmpd="sng" w="12700">
                                      <a:solidFill>
                                        <a:srgbClr val="B7B7B7"/>
                                      </a:solidFill>
                                      <a:prstDash val="solid"/>
                                      <a:round/>
                                      <a:headEnd len="sm" w="sm" type="none"/>
                                      <a:tailEnd len="sm" w="sm" type="none"/>
                                    </a:lnL>
                                    <a:lnR cap="flat" cmpd="sng" w="19050">
                                      <a:solidFill>
                                        <a:srgbClr val="000000"/>
                                      </a:solidFill>
                                      <a:prstDash val="solid"/>
                                      <a:round/>
                                      <a:headEnd len="sm" w="sm" type="none"/>
                                      <a:tailEnd len="sm" w="sm" type="none"/>
                                    </a:lnR>
                                    <a:lnT cap="flat" cmpd="sng" w="12700">
                                      <a:solidFill>
                                        <a:srgbClr val="B7B7B7"/>
                                      </a:solidFill>
                                      <a:prstDash val="solid"/>
                                      <a:round/>
                                      <a:headEnd len="sm" w="sm" type="none"/>
                                      <a:tailEnd len="sm" w="sm" type="none"/>
                                    </a:lnT>
                                    <a:lnB cap="flat" cmpd="sng" w="12700">
                                      <a:solidFill>
                                        <a:srgbClr val="B7B7B7"/>
                                      </a:solidFill>
                                      <a:prstDash val="solid"/>
                                      <a:round/>
                                      <a:headEnd len="sm" w="sm" type="none"/>
                                      <a:tailEnd len="sm" w="sm" type="none"/>
                                    </a:lnB>
                                    <a:solidFill>
                                      <a:srgbClr val="FFFFFF"/>
                                    </a:solidFill>
                                  </a:tcPr>
                                </a:tc>
                              </a:tr>
                              <a:tr h="553875">
                                <a:tc>
                                  <a:txBody>
                                    <a:bodyPr/>
                                    <a:lstStyle/>
                                    <a:p>
                                      <a:pPr indent="0" lvl="0" marL="0" marR="0" rtl="0" algn="l">
                                        <a:spcBef>
                                          <a:spcPts val="0"/>
                                        </a:spcBef>
                                        <a:spcAft>
                                          <a:spcPts val="0"/>
                                        </a:spcAft>
                                        <a:buNone/>
                                      </a:pPr>
                                      <a:r>
                                        <a:rPr lang="en-US" sz="1100">
                                          <a:solidFill>
                                            <a:srgbClr val="000000"/>
                                          </a:solidFill>
                                          <a:latin typeface="Arial"/>
                                          <a:ea typeface="Arial"/>
                                          <a:cs typeface="Arial"/>
                                          <a:sym typeface="Arial"/>
                                        </a:rPr>
                                        <a:t>Éprouvez-vous des difficultés à communiquer dans votre langue habituelle (d’usage), à comprendre les autres ou à vous faire comprendre, par exemple?</a:t>
                                      </a:r>
                                      <a:endParaRPr sz="1100">
                                        <a:solidFill>
                                          <a:srgbClr val="000000"/>
                                        </a:solidFill>
                                        <a:latin typeface="Arial"/>
                                        <a:ea typeface="Arial"/>
                                        <a:cs typeface="Arial"/>
                                        <a:sym typeface="Arial"/>
                                      </a:endParaRPr>
                                    </a:p>
                                  </a:txBody>
                                  <a:tcPr marT="180000" marB="0" marR="91450" marL="162000">
                                    <a:lnL cap="flat" cmpd="sng" w="19050">
                                      <a:solidFill>
                                        <a:srgbClr val="000000"/>
                                      </a:solidFill>
                                      <a:prstDash val="solid"/>
                                      <a:round/>
                                      <a:headEnd len="sm" w="sm" type="none"/>
                                      <a:tailEnd len="sm" w="sm" type="none"/>
                                    </a:lnL>
                                    <a:lnR cap="flat" cmpd="sng" w="12700">
                                      <a:solidFill>
                                        <a:srgbClr val="B7B7B7"/>
                                      </a:solidFill>
                                      <a:prstDash val="solid"/>
                                      <a:round/>
                                      <a:headEnd len="sm" w="sm" type="none"/>
                                      <a:tailEnd len="sm" w="sm" type="none"/>
                                    </a:lnR>
                                    <a:lnT cap="flat" cmpd="sng" w="12700">
                                      <a:solidFill>
                                        <a:srgbClr val="B7B7B7"/>
                                      </a:solidFill>
                                      <a:prstDash val="solid"/>
                                      <a:round/>
                                      <a:headEnd len="sm" w="sm" type="none"/>
                                      <a:tailEnd len="sm" w="sm" type="none"/>
                                    </a:lnT>
                                    <a:lnB cap="flat" cmpd="sng" w="19050">
                                      <a:solidFill>
                                        <a:srgbClr val="000000"/>
                                      </a:solidFill>
                                      <a:prstDash val="solid"/>
                                      <a:round/>
                                      <a:headEnd len="sm" w="sm" type="none"/>
                                      <a:tailEnd len="sm" w="sm" type="none"/>
                                    </a:lnB>
                                    <a:solidFill>
                                      <a:srgbClr val="FFFFFF"/>
                                    </a:solidFill>
                                  </a:tcPr>
                                </a:tc>
                                <a:tc>
                                  <a:txBody>
                                    <a:bodyPr/>
                                    <a:lstStyle/>
                                    <a:p>
                                      <a:pPr indent="-298450" lvl="0" marL="457200" rtl="0" algn="l">
                                        <a:spcBef>
                                          <a:spcPts val="0"/>
                                        </a:spcBef>
                                        <a:spcAft>
                                          <a:spcPts val="0"/>
                                        </a:spcAft>
                                        <a:buClr>
                                          <a:srgbClr val="000000"/>
                                        </a:buClr>
                                        <a:buSzPts val="1100"/>
                                        <a:buChar char="❏"/>
                                      </a:pPr>
                                      <a:r>
                                        <a:rPr lang="en-US" sz="1100">
                                          <a:solidFill>
                                            <a:srgbClr val="000000"/>
                                          </a:solidFill>
                                          <a:latin typeface="Arial"/>
                                          <a:ea typeface="Arial"/>
                                          <a:cs typeface="Arial"/>
                                          <a:sym typeface="Arial"/>
                                        </a:rPr>
                                        <a:t>Non, pas du tout. </a:t>
                                      </a:r>
                                      <a:endParaRPr sz="900">
                                        <a:solidFill>
                                          <a:srgbClr val="000000"/>
                                        </a:solidFill>
                                        <a:latin typeface="Arial"/>
                                        <a:ea typeface="Arial"/>
                                        <a:cs typeface="Arial"/>
                                        <a:sym typeface="Arial"/>
                                      </a:endParaRPr>
                                    </a:p>
                                    <a:p>
                                      <a:pPr indent="-298450" lvl="0" marL="457200" rtl="0" algn="l">
                                        <a:spcBef>
                                          <a:spcPts val="0"/>
                                        </a:spcBef>
                                        <a:spcAft>
                                          <a:spcPts val="0"/>
                                        </a:spcAft>
                                        <a:buClr>
                                          <a:srgbClr val="000000"/>
                                        </a:buClr>
                                        <a:buSzPts val="1100"/>
                                        <a:buChar char="❏"/>
                                      </a:pPr>
                                      <a:r>
                                        <a:rPr lang="en-US" sz="1100">
                                          <a:solidFill>
                                            <a:srgbClr val="000000"/>
                                          </a:solidFill>
                                          <a:latin typeface="Arial"/>
                                          <a:ea typeface="Arial"/>
                                          <a:cs typeface="Arial"/>
                                          <a:sym typeface="Arial"/>
                                        </a:rPr>
                                        <a:t>Oui, un peu.</a:t>
                                      </a:r>
                                      <a:endParaRPr sz="1100">
                                        <a:latin typeface="Arial"/>
                                        <a:ea typeface="Arial"/>
                                        <a:cs typeface="Arial"/>
                                        <a:sym typeface="Arial"/>
                                      </a:endParaRPr>
                                    </a:p>
                                  </a:txBody>
                                  <a:tcPr marT="118800" marB="0" marR="91450" marL="234000">
                                    <a:lnL cap="flat" cmpd="sng" w="12700">
                                      <a:solidFill>
                                        <a:srgbClr val="B7B7B7"/>
                                      </a:solidFill>
                                      <a:prstDash val="solid"/>
                                      <a:round/>
                                      <a:headEnd len="sm" w="sm" type="none"/>
                                      <a:tailEnd len="sm" w="sm" type="none"/>
                                    </a:lnL>
                                    <a:lnR cap="flat" cmpd="sng" w="12700">
                                      <a:solidFill>
                                        <a:srgbClr val="B7B7B7"/>
                                      </a:solidFill>
                                      <a:prstDash val="solid"/>
                                      <a:round/>
                                      <a:headEnd len="sm" w="sm" type="none"/>
                                      <a:tailEnd len="sm" w="sm" type="none"/>
                                    </a:lnR>
                                    <a:lnT cap="flat" cmpd="sng" w="12700">
                                      <a:solidFill>
                                        <a:srgbClr val="B7B7B7"/>
                                      </a:solidFill>
                                      <a:prstDash val="solid"/>
                                      <a:round/>
                                      <a:headEnd len="sm" w="sm" type="none"/>
                                      <a:tailEnd len="sm" w="sm" type="none"/>
                                    </a:lnT>
                                    <a:lnB cap="flat" cmpd="sng" w="19050">
                                      <a:solidFill>
                                        <a:srgbClr val="000000"/>
                                      </a:solidFill>
                                      <a:prstDash val="solid"/>
                                      <a:round/>
                                      <a:headEnd len="sm" w="sm" type="none"/>
                                      <a:tailEnd len="sm" w="sm" type="none"/>
                                    </a:lnB>
                                    <a:solidFill>
                                      <a:srgbClr val="FFFFFF"/>
                                    </a:solidFill>
                                  </a:tcPr>
                                </a:tc>
                                <a:tc>
                                  <a:txBody>
                                    <a:bodyPr/>
                                    <a:lstStyle/>
                                    <a:p>
                                      <a:pPr indent="-298450" lvl="0" marL="457200" rtl="0" algn="l">
                                        <a:spcBef>
                                          <a:spcPts val="0"/>
                                        </a:spcBef>
                                        <a:spcAft>
                                          <a:spcPts val="0"/>
                                        </a:spcAft>
                                        <a:buClr>
                                          <a:srgbClr val="000000"/>
                                        </a:buClr>
                                        <a:buSzPts val="1100"/>
                                        <a:buChar char="❏"/>
                                      </a:pPr>
                                      <a:r>
                                        <a:rPr lang="en-US" sz="1100">
                                          <a:solidFill>
                                            <a:srgbClr val="000000"/>
                                          </a:solidFill>
                                          <a:latin typeface="Arial"/>
                                          <a:ea typeface="Arial"/>
                                          <a:cs typeface="Arial"/>
                                          <a:sym typeface="Arial"/>
                                        </a:rPr>
                                        <a:t>Oui, beaucoup. </a:t>
                                      </a:r>
                                      <a:endParaRPr sz="900">
                                        <a:solidFill>
                                          <a:srgbClr val="000000"/>
                                        </a:solidFill>
                                        <a:latin typeface="Arial"/>
                                        <a:ea typeface="Arial"/>
                                        <a:cs typeface="Arial"/>
                                        <a:sym typeface="Arial"/>
                                      </a:endParaRPr>
                                    </a:p>
                                    <a:p>
                                      <a:pPr indent="-298450" lvl="0" marL="457200" rtl="0" algn="l">
                                        <a:spcBef>
                                          <a:spcPts val="0"/>
                                        </a:spcBef>
                                        <a:spcAft>
                                          <a:spcPts val="0"/>
                                        </a:spcAft>
                                        <a:buClr>
                                          <a:srgbClr val="000000"/>
                                        </a:buClr>
                                        <a:buSzPts val="1100"/>
                                        <a:buChar char="❏"/>
                                      </a:pPr>
                                      <a:r>
                                        <a:rPr lang="en-US" sz="1100">
                                          <a:solidFill>
                                            <a:srgbClr val="000000"/>
                                          </a:solidFill>
                                          <a:latin typeface="Arial"/>
                                          <a:ea typeface="Arial"/>
                                          <a:cs typeface="Arial"/>
                                          <a:sym typeface="Arial"/>
                                        </a:rPr>
                                        <a:t>Je ne vois rien du tout. </a:t>
                                      </a:r>
                                      <a:endParaRPr sz="1100">
                                        <a:latin typeface="Arial"/>
                                        <a:ea typeface="Arial"/>
                                        <a:cs typeface="Arial"/>
                                        <a:sym typeface="Arial"/>
                                      </a:endParaRPr>
                                    </a:p>
                                  </a:txBody>
                                  <a:tcPr marT="118800" marB="0" marR="0" marL="234000">
                                    <a:lnL cap="flat" cmpd="sng" w="12700">
                                      <a:solidFill>
                                        <a:srgbClr val="B7B7B7"/>
                                      </a:solidFill>
                                      <a:prstDash val="solid"/>
                                      <a:round/>
                                      <a:headEnd len="sm" w="sm" type="none"/>
                                      <a:tailEnd len="sm" w="sm" type="none"/>
                                    </a:lnL>
                                    <a:lnR cap="flat" cmpd="sng" w="19050">
                                      <a:solidFill>
                                        <a:srgbClr val="000000"/>
                                      </a:solidFill>
                                      <a:prstDash val="solid"/>
                                      <a:round/>
                                      <a:headEnd len="sm" w="sm" type="none"/>
                                      <a:tailEnd len="sm" w="sm" type="none"/>
                                    </a:lnR>
                                    <a:lnT cap="flat" cmpd="sng" w="12700">
                                      <a:solidFill>
                                        <a:srgbClr val="B7B7B7"/>
                                      </a:solidFill>
                                      <a:prstDash val="solid"/>
                                      <a:round/>
                                      <a:headEnd len="sm" w="sm" type="none"/>
                                      <a:tailEnd len="sm" w="sm" type="none"/>
                                    </a:lnT>
                                    <a:lnB cap="flat" cmpd="sng" w="19050">
                                      <a:solidFill>
                                        <a:srgbClr val="000000"/>
                                      </a:solidFill>
                                      <a:prstDash val="solid"/>
                                      <a:round/>
                                      <a:headEnd len="sm" w="sm" type="none"/>
                                      <a:tailEnd len="sm" w="sm" type="none"/>
                                    </a:lnB>
                                    <a:solidFill>
                                      <a:srgbClr val="FFFFFF"/>
                                    </a:solidFill>
                                  </a:tcPr>
                                </a:tc>
                              </a:tr>
                            </a:tbl>
                          </a:graphicData>
                        </a:graphic>
                      </wpg:graphicFrame>
                    </wpg:wgp>
                  </a:graphicData>
                </a:graphic>
              </wp:inline>
            </w:drawing>
          </mc:Choice>
          <mc:Fallback>
            <w:drawing>
              <wp:inline distB="114300" distT="114300" distL="114300" distR="114300">
                <wp:extent cx="6400800" cy="2818121"/>
                <wp:effectExtent b="0" l="0" r="0" t="0"/>
                <wp:docPr id="2060985744"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6400800" cy="281812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0">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Ces questions peuvent être intégrées à divers processus et outils de collecte de données et utilisées à toutes les étapes du cycle de gestion de projet. Par exemple :</w:t>
      </w:r>
    </w:p>
    <w:p w:rsidR="00000000" w:rsidDel="00000000" w:rsidP="00000000" w:rsidRDefault="00000000" w:rsidRPr="00000000" w14:paraId="00000091">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92">
      <w:pPr>
        <w:numPr>
          <w:ilvl w:val="0"/>
          <w:numId w:val="20"/>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Analyse des situations, des obstacles et des rapports de pouvoir.</w:t>
      </w:r>
    </w:p>
    <w:p w:rsidR="00000000" w:rsidDel="00000000" w:rsidP="00000000" w:rsidRDefault="00000000" w:rsidRPr="00000000" w14:paraId="00000093">
      <w:pPr>
        <w:numPr>
          <w:ilvl w:val="0"/>
          <w:numId w:val="20"/>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Enquêtes et évaluations de référence et de fin de projet/programme.</w:t>
      </w:r>
    </w:p>
    <w:p w:rsidR="00000000" w:rsidDel="00000000" w:rsidP="00000000" w:rsidRDefault="00000000" w:rsidRPr="00000000" w14:paraId="00000094">
      <w:pPr>
        <w:numPr>
          <w:ilvl w:val="0"/>
          <w:numId w:val="20"/>
        </w:numPr>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Collecte régulière de données sur les services, pour vérifier s’ils atteignent les personnes en situation de handicap et adapter les interventions en fonction des analyses des obstacles et des rapports de pouvoir.</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1733550</wp:posOffset>
                </wp:positionH>
                <wp:positionV relativeFrom="paragraph">
                  <wp:posOffset>120650</wp:posOffset>
                </wp:positionV>
                <wp:extent cx="4413250" cy="725989"/>
                <wp:effectExtent b="0" l="0" r="0" t="0"/>
                <wp:wrapNone/>
                <wp:docPr id="2060985739" name=""/>
                <a:graphic>
                  <a:graphicData uri="http://schemas.microsoft.com/office/word/2010/wordprocessingShape">
                    <wps:wsp>
                      <wps:cNvSpPr/>
                      <wps:cNvPr id="22" name="Shape 22"/>
                      <wps:spPr>
                        <a:xfrm>
                          <a:off x="3153900" y="3457049"/>
                          <a:ext cx="4384200" cy="702000"/>
                        </a:xfrm>
                        <a:prstGeom prst="roundRect">
                          <a:avLst>
                            <a:gd fmla="val 16667" name="adj"/>
                          </a:avLst>
                        </a:prstGeom>
                        <a:solidFill>
                          <a:srgbClr val="3A4888"/>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1"/>
                                <w:vertAlign w:val="baseline"/>
                              </w:rPr>
                              <w:t xml:space="preserve">Combien de personnes sont en situation de handicap? Quelles sont leurs caractéristiques? Où résident-elles?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1"/>
                                <w:vertAlign w:val="baseline"/>
                              </w:rPr>
                            </w:r>
                            <w:r w:rsidDel="00000000" w:rsidR="00000000" w:rsidRPr="00000000">
                              <w:rPr>
                                <w:rFonts w:ascii="Calibri" w:cs="Calibri" w:eastAsia="Calibri" w:hAnsi="Calibri"/>
                                <w:b w:val="0"/>
                                <w:i w:val="0"/>
                                <w:smallCaps w:val="0"/>
                                <w:strike w:val="0"/>
                                <w:color w:val="ffffff"/>
                                <w:sz w:val="21"/>
                                <w:vertAlign w:val="baseline"/>
                              </w:rPr>
                              <w:t xml:space="preserve">Utilisation de méthodes de collecte de données éprouvées, telles que les ensembles de questions du Groupe de Washington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1733550</wp:posOffset>
                </wp:positionH>
                <wp:positionV relativeFrom="paragraph">
                  <wp:posOffset>120650</wp:posOffset>
                </wp:positionV>
                <wp:extent cx="4413250" cy="725989"/>
                <wp:effectExtent b="0" l="0" r="0" t="0"/>
                <wp:wrapNone/>
                <wp:docPr id="2060985739"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4413250" cy="725989"/>
                        </a:xfrm>
                        <a:prstGeom prst="rect"/>
                        <a:ln/>
                      </pic:spPr>
                    </pic:pic>
                  </a:graphicData>
                </a:graphic>
              </wp:anchor>
            </w:drawing>
          </mc:Fallback>
        </mc:AlternateConten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-47624</wp:posOffset>
                </wp:positionH>
                <wp:positionV relativeFrom="paragraph">
                  <wp:posOffset>38214</wp:posOffset>
                </wp:positionV>
                <wp:extent cx="1701800" cy="525837"/>
                <wp:effectExtent b="0" l="0" r="0" t="0"/>
                <wp:wrapNone/>
                <wp:docPr id="2060985740" name=""/>
                <a:graphic>
                  <a:graphicData uri="http://schemas.microsoft.com/office/word/2010/wordprocessingShape">
                    <wps:wsp>
                      <wps:cNvSpPr/>
                      <wps:cNvPr id="23" name="Shape 23"/>
                      <wps:spPr>
                        <a:xfrm>
                          <a:off x="4507800" y="3526000"/>
                          <a:ext cx="1676400" cy="508000"/>
                        </a:xfrm>
                        <a:prstGeom prst="roundRect">
                          <a:avLst>
                            <a:gd fmla="val 16667" name="adj"/>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Prévalence et tendances observées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-47624</wp:posOffset>
                </wp:positionH>
                <wp:positionV relativeFrom="paragraph">
                  <wp:posOffset>38214</wp:posOffset>
                </wp:positionV>
                <wp:extent cx="1701800" cy="525837"/>
                <wp:effectExtent b="0" l="0" r="0" t="0"/>
                <wp:wrapNone/>
                <wp:docPr id="2060985740"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701800" cy="525837"/>
                        </a:xfrm>
                        <a:prstGeom prst="rect"/>
                        <a:ln/>
                      </pic:spPr>
                    </pic:pic>
                  </a:graphicData>
                </a:graphic>
              </wp:anchor>
            </w:drawing>
          </mc:Fallback>
        </mc:AlternateConten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1733550</wp:posOffset>
                </wp:positionH>
                <wp:positionV relativeFrom="paragraph">
                  <wp:posOffset>118948</wp:posOffset>
                </wp:positionV>
                <wp:extent cx="4413250" cy="955249"/>
                <wp:effectExtent b="0" l="0" r="0" t="0"/>
                <wp:wrapNone/>
                <wp:docPr id="2060985741" name=""/>
                <a:graphic>
                  <a:graphicData uri="http://schemas.microsoft.com/office/word/2010/wordprocessingShape">
                    <wps:wsp>
                      <wps:cNvSpPr/>
                      <wps:cNvPr id="24" name="Shape 24"/>
                      <wps:spPr>
                        <a:xfrm>
                          <a:off x="3153575" y="3457050"/>
                          <a:ext cx="4384800" cy="935400"/>
                        </a:xfrm>
                        <a:prstGeom prst="roundRect">
                          <a:avLst>
                            <a:gd fmla="val 16667" name="adj"/>
                          </a:avLst>
                        </a:prstGeom>
                        <a:solidFill>
                          <a:srgbClr val="3A4888"/>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1"/>
                                <w:vertAlign w:val="baseline"/>
                              </w:rPr>
                              <w:t xml:space="preserve">Quels sont les écarts observés en matière de pauvreté, d’emploi, d’éducation, de santé, de protection sociale, etc.?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1"/>
                                <w:vertAlign w:val="baseline"/>
                              </w:rPr>
                            </w:r>
                            <w:r w:rsidDel="00000000" w:rsidR="00000000" w:rsidRPr="00000000">
                              <w:rPr>
                                <w:rFonts w:ascii="Calibri" w:cs="Calibri" w:eastAsia="Calibri" w:hAnsi="Calibri"/>
                                <w:b w:val="0"/>
                                <w:i w:val="0"/>
                                <w:smallCaps w:val="0"/>
                                <w:strike w:val="0"/>
                                <w:color w:val="ffffff"/>
                                <w:sz w:val="21"/>
                                <w:vertAlign w:val="baseline"/>
                              </w:rPr>
                              <w:t xml:space="preserve">Il est essentiel d’examiner ces inégalités à travers une approche intersectionnelle, en tenant compte du genre, de l’âge, du lieu de résidence, de l’origine ethnique et d’autres facteurs de discrimination croisée.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1733550</wp:posOffset>
                </wp:positionH>
                <wp:positionV relativeFrom="paragraph">
                  <wp:posOffset>118948</wp:posOffset>
                </wp:positionV>
                <wp:extent cx="4413250" cy="955249"/>
                <wp:effectExtent b="0" l="0" r="0" t="0"/>
                <wp:wrapNone/>
                <wp:docPr id="2060985741"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4413250" cy="955249"/>
                        </a:xfrm>
                        <a:prstGeom prst="rect"/>
                        <a:ln/>
                      </pic:spPr>
                    </pic:pic>
                  </a:graphicData>
                </a:graphic>
              </wp:anchor>
            </w:drawing>
          </mc:Fallback>
        </mc:AlternateConten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-47624</wp:posOffset>
                </wp:positionH>
                <wp:positionV relativeFrom="paragraph">
                  <wp:posOffset>114414</wp:posOffset>
                </wp:positionV>
                <wp:extent cx="1701800" cy="583201"/>
                <wp:effectExtent b="0" l="0" r="0" t="0"/>
                <wp:wrapNone/>
                <wp:docPr id="2060985742" name=""/>
                <a:graphic>
                  <a:graphicData uri="http://schemas.microsoft.com/office/word/2010/wordprocessingShape">
                    <wps:wsp>
                      <wps:cNvSpPr/>
                      <wps:cNvPr id="25" name="Shape 25"/>
                      <wps:spPr>
                        <a:xfrm>
                          <a:off x="4507800" y="3526000"/>
                          <a:ext cx="1676400" cy="558900"/>
                        </a:xfrm>
                        <a:prstGeom prst="roundRect">
                          <a:avLst>
                            <a:gd fmla="val 16667" name="adj"/>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Ventilation des indicateurs de résultats selon le handicap</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-47624</wp:posOffset>
                </wp:positionH>
                <wp:positionV relativeFrom="paragraph">
                  <wp:posOffset>114414</wp:posOffset>
                </wp:positionV>
                <wp:extent cx="1701800" cy="583201"/>
                <wp:effectExtent b="0" l="0" r="0" t="0"/>
                <wp:wrapNone/>
                <wp:docPr id="2060985742"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701800" cy="583201"/>
                        </a:xfrm>
                        <a:prstGeom prst="rect"/>
                        <a:ln/>
                      </pic:spPr>
                    </pic:pic>
                  </a:graphicData>
                </a:graphic>
              </wp:anchor>
            </w:drawing>
          </mc:Fallback>
        </mc:AlternateConten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-47624</wp:posOffset>
                </wp:positionH>
                <wp:positionV relativeFrom="paragraph">
                  <wp:posOffset>180975</wp:posOffset>
                </wp:positionV>
                <wp:extent cx="1701800" cy="525837"/>
                <wp:effectExtent b="0" l="0" r="0" t="0"/>
                <wp:wrapNone/>
                <wp:docPr id="2060985736" name=""/>
                <a:graphic>
                  <a:graphicData uri="http://schemas.microsoft.com/office/word/2010/wordprocessingShape">
                    <wps:wsp>
                      <wps:cNvSpPr/>
                      <wps:cNvPr id="19" name="Shape 19"/>
                      <wps:spPr>
                        <a:xfrm>
                          <a:off x="4507800" y="3526000"/>
                          <a:ext cx="1676400" cy="508000"/>
                        </a:xfrm>
                        <a:prstGeom prst="roundRect">
                          <a:avLst>
                            <a:gd fmla="val 16667" name="adj"/>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6"/>
                                <w:vertAlign w:val="baseline"/>
                              </w:rPr>
                              <w:t xml:space="preserve">Obstacles à la participation?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-47624</wp:posOffset>
                </wp:positionH>
                <wp:positionV relativeFrom="paragraph">
                  <wp:posOffset>180975</wp:posOffset>
                </wp:positionV>
                <wp:extent cx="1701800" cy="525837"/>
                <wp:effectExtent b="0" l="0" r="0" t="0"/>
                <wp:wrapNone/>
                <wp:docPr id="206098573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701800" cy="52583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1733550</wp:posOffset>
                </wp:positionH>
                <wp:positionV relativeFrom="paragraph">
                  <wp:posOffset>147752</wp:posOffset>
                </wp:positionV>
                <wp:extent cx="4413250" cy="582702"/>
                <wp:effectExtent b="0" l="0" r="0" t="0"/>
                <wp:wrapNone/>
                <wp:docPr id="2060985735" name=""/>
                <a:graphic>
                  <a:graphicData uri="http://schemas.microsoft.com/office/word/2010/wordprocessingShape">
                    <wps:wsp>
                      <wps:cNvSpPr/>
                      <wps:cNvPr id="18" name="Shape 18"/>
                      <wps:spPr>
                        <a:xfrm>
                          <a:off x="3153980" y="3500600"/>
                          <a:ext cx="4384040" cy="558800"/>
                        </a:xfrm>
                        <a:prstGeom prst="roundRect">
                          <a:avLst>
                            <a:gd fmla="val 16667" name="adj"/>
                          </a:avLst>
                        </a:prstGeom>
                        <a:solidFill>
                          <a:srgbClr val="3A4888"/>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3"/>
                                <w:vertAlign w:val="baseline"/>
                              </w:rPr>
                              <w:t xml:space="preserve">Infrastructures et informations accessibles, attitudes, lois et institutions, coût des services, etc.</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1733550</wp:posOffset>
                </wp:positionH>
                <wp:positionV relativeFrom="paragraph">
                  <wp:posOffset>147752</wp:posOffset>
                </wp:positionV>
                <wp:extent cx="4413250" cy="582702"/>
                <wp:effectExtent b="0" l="0" r="0" t="0"/>
                <wp:wrapNone/>
                <wp:docPr id="206098573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413250" cy="582702"/>
                        </a:xfrm>
                        <a:prstGeom prst="rect"/>
                        <a:ln/>
                      </pic:spPr>
                    </pic:pic>
                  </a:graphicData>
                </a:graphic>
              </wp:anchor>
            </w:drawing>
          </mc:Fallback>
        </mc:AlternateConten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-47624</wp:posOffset>
                </wp:positionH>
                <wp:positionV relativeFrom="paragraph">
                  <wp:posOffset>52388</wp:posOffset>
                </wp:positionV>
                <wp:extent cx="1701800" cy="602322"/>
                <wp:effectExtent b="0" l="0" r="0" t="0"/>
                <wp:wrapNone/>
                <wp:docPr id="2060985738" name=""/>
                <a:graphic>
                  <a:graphicData uri="http://schemas.microsoft.com/office/word/2010/wordprocessingShape">
                    <wps:wsp>
                      <wps:cNvSpPr/>
                      <wps:cNvPr id="21" name="Shape 21"/>
                      <wps:spPr>
                        <a:xfrm>
                          <a:off x="4507800" y="3526000"/>
                          <a:ext cx="1676400" cy="579900"/>
                        </a:xfrm>
                        <a:prstGeom prst="roundRect">
                          <a:avLst>
                            <a:gd fmla="val 16667" name="adj"/>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Soutien nécessaire pour favoriser l’inclusion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-47624</wp:posOffset>
                </wp:positionH>
                <wp:positionV relativeFrom="paragraph">
                  <wp:posOffset>52388</wp:posOffset>
                </wp:positionV>
                <wp:extent cx="1701800" cy="602322"/>
                <wp:effectExtent b="0" l="0" r="0" t="0"/>
                <wp:wrapNone/>
                <wp:docPr id="206098573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701800" cy="60232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1733550</wp:posOffset>
                </wp:positionH>
                <wp:positionV relativeFrom="paragraph">
                  <wp:posOffset>18455</wp:posOffset>
                </wp:positionV>
                <wp:extent cx="4413250" cy="668674"/>
                <wp:effectExtent b="0" l="0" r="0" t="0"/>
                <wp:wrapNone/>
                <wp:docPr id="2060985737" name=""/>
                <a:graphic>
                  <a:graphicData uri="http://schemas.microsoft.com/office/word/2010/wordprocessingShape">
                    <wps:wsp>
                      <wps:cNvSpPr/>
                      <wps:cNvPr id="20" name="Shape 20"/>
                      <wps:spPr>
                        <a:xfrm>
                          <a:off x="3153980" y="3457058"/>
                          <a:ext cx="4384040" cy="645885"/>
                        </a:xfrm>
                        <a:prstGeom prst="roundRect">
                          <a:avLst>
                            <a:gd fmla="val 16667" name="adj"/>
                          </a:avLst>
                        </a:prstGeom>
                        <a:solidFill>
                          <a:srgbClr val="3A4888"/>
                        </a:solidFill>
                        <a:ln cap="flat" cmpd="sng" w="12700">
                          <a:solidFill>
                            <a:srgbClr val="1C3052"/>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1"/>
                                <w:vertAlign w:val="baseline"/>
                              </w:rPr>
                              <w:t xml:space="preserve">De quel type d’aide humaine, de dispositifs d’assistance, d’adaptation du domicile ou du lieu de travail les personnes ont-elles besoin pour assurer leur survie et promouvoir leur participation?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1733550</wp:posOffset>
                </wp:positionH>
                <wp:positionV relativeFrom="paragraph">
                  <wp:posOffset>18455</wp:posOffset>
                </wp:positionV>
                <wp:extent cx="4413250" cy="668674"/>
                <wp:effectExtent b="0" l="0" r="0" t="0"/>
                <wp:wrapNone/>
                <wp:docPr id="206098573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4413250" cy="668674"/>
                        </a:xfrm>
                        <a:prstGeom prst="rect"/>
                        <a:ln/>
                      </pic:spPr>
                    </pic:pic>
                  </a:graphicData>
                </a:graphic>
              </wp:anchor>
            </w:drawing>
          </mc:Fallback>
        </mc:AlternateConten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pStyle w:val="Heading4"/>
        <w:rPr/>
      </w:pPr>
      <w:bookmarkStart w:colFirst="0" w:colLast="0" w:name="_heading=h.fd95zwst6bbe" w:id="6"/>
      <w:bookmarkEnd w:id="6"/>
      <w:r w:rsidDel="00000000" w:rsidR="00000000" w:rsidRPr="00000000">
        <w:br w:type="page"/>
      </w:r>
      <w:r w:rsidDel="00000000" w:rsidR="00000000" w:rsidRPr="00000000">
        <w:rPr>
          <w:rtl w:val="0"/>
        </w:rPr>
      </w:r>
    </w:p>
    <w:p w:rsidR="00000000" w:rsidDel="00000000" w:rsidP="00000000" w:rsidRDefault="00000000" w:rsidRPr="00000000" w14:paraId="000000A8">
      <w:pPr>
        <w:pStyle w:val="Heading4"/>
        <w:rPr/>
      </w:pPr>
      <w:bookmarkStart w:colFirst="0" w:colLast="0" w:name="_heading=h.ck2tuqq3wlcj" w:id="7"/>
      <w:bookmarkEnd w:id="7"/>
      <w:r w:rsidDel="00000000" w:rsidR="00000000" w:rsidRPr="00000000">
        <w:rPr>
          <w:rtl w:val="0"/>
        </w:rPr>
        <w:t xml:space="preserve">Ressources supplémentaires :</w:t>
      </w:r>
      <w:r w:rsidDel="00000000" w:rsidR="00000000" w:rsidRPr="00000000">
        <w:rPr>
          <w:rtl w:val="0"/>
        </w:rPr>
        <w:t xml:space="preserve"> </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numPr>
          <w:ilvl w:val="0"/>
          <w:numId w:val="2"/>
        </w:numPr>
        <w:ind w:left="720" w:hanging="360"/>
        <w:rPr>
          <w:rFonts w:ascii="Proxima Nova" w:cs="Proxima Nova" w:eastAsia="Proxima Nova" w:hAnsi="Proxima Nova"/>
          <w:sz w:val="22"/>
          <w:szCs w:val="22"/>
        </w:rPr>
      </w:pPr>
      <w:hyperlink r:id="rId14">
        <w:r w:rsidDel="00000000" w:rsidR="00000000" w:rsidRPr="00000000">
          <w:rPr>
            <w:rFonts w:ascii="Proxima Nova" w:cs="Proxima Nova" w:eastAsia="Proxima Nova" w:hAnsi="Proxima Nova"/>
            <w:color w:val="3a4888"/>
            <w:sz w:val="22"/>
            <w:szCs w:val="22"/>
            <w:u w:val="single"/>
            <w:rtl w:val="0"/>
          </w:rPr>
          <w:t xml:space="preserve">Using the Washington Group questions on disability data in development programs: A learning brief</w:t>
        </w:r>
      </w:hyperlink>
      <w:r w:rsidDel="00000000" w:rsidR="00000000" w:rsidRPr="00000000">
        <w:rPr>
          <w:rFonts w:ascii="Proxima Nova" w:cs="Proxima Nova" w:eastAsia="Proxima Nova" w:hAnsi="Proxima Nova"/>
          <w:sz w:val="22"/>
          <w:szCs w:val="22"/>
          <w:rtl w:val="0"/>
        </w:rPr>
        <w:t xml:space="preserve">, 2023</w:t>
      </w:r>
    </w:p>
    <w:p w:rsidR="00000000" w:rsidDel="00000000" w:rsidP="00000000" w:rsidRDefault="00000000" w:rsidRPr="00000000" w14:paraId="000000AB">
      <w:pPr>
        <w:numPr>
          <w:ilvl w:val="0"/>
          <w:numId w:val="2"/>
        </w:numPr>
        <w:ind w:left="720" w:hanging="360"/>
        <w:rPr>
          <w:rFonts w:ascii="Proxima Nova" w:cs="Proxima Nova" w:eastAsia="Proxima Nova" w:hAnsi="Proxima Nova"/>
          <w:sz w:val="22"/>
          <w:szCs w:val="22"/>
        </w:rPr>
      </w:pPr>
      <w:hyperlink r:id="rId15">
        <w:r w:rsidDel="00000000" w:rsidR="00000000" w:rsidRPr="00000000">
          <w:rPr>
            <w:rFonts w:ascii="Proxima Nova" w:cs="Proxima Nova" w:eastAsia="Proxima Nova" w:hAnsi="Proxima Nova"/>
            <w:color w:val="3a4888"/>
            <w:sz w:val="22"/>
            <w:szCs w:val="22"/>
            <w:u w:val="single"/>
            <w:rtl w:val="0"/>
          </w:rPr>
          <w:t xml:space="preserve">Comment poser les questions du Washington Group</w:t>
        </w:r>
      </w:hyperlink>
      <w:r w:rsidDel="00000000" w:rsidR="00000000" w:rsidRPr="00000000">
        <w:rPr>
          <w:rFonts w:ascii="Proxima Nova" w:cs="Proxima Nova" w:eastAsia="Proxima Nova" w:hAnsi="Proxima Nova"/>
          <w:sz w:val="22"/>
          <w:szCs w:val="22"/>
          <w:rtl w:val="0"/>
        </w:rPr>
        <w:t xml:space="preserve">, 2018</w:t>
      </w:r>
    </w:p>
    <w:p w:rsidR="00000000" w:rsidDel="00000000" w:rsidP="00000000" w:rsidRDefault="00000000" w:rsidRPr="00000000" w14:paraId="000000AC">
      <w:pPr>
        <w:numPr>
          <w:ilvl w:val="0"/>
          <w:numId w:val="2"/>
        </w:numPr>
        <w:ind w:left="720" w:hanging="360"/>
        <w:rPr>
          <w:rFonts w:ascii="Proxima Nova" w:cs="Proxima Nova" w:eastAsia="Proxima Nova" w:hAnsi="Proxima Nova"/>
          <w:sz w:val="22"/>
          <w:szCs w:val="22"/>
        </w:rPr>
      </w:pPr>
      <w:hyperlink r:id="rId16">
        <w:r w:rsidDel="00000000" w:rsidR="00000000" w:rsidRPr="00000000">
          <w:rPr>
            <w:rFonts w:ascii="Proxima Nova" w:cs="Proxima Nova" w:eastAsia="Proxima Nova" w:hAnsi="Proxima Nova"/>
            <w:color w:val="3a4888"/>
            <w:sz w:val="22"/>
            <w:szCs w:val="22"/>
            <w:u w:val="single"/>
            <w:rtl w:val="0"/>
          </w:rPr>
          <w:t xml:space="preserve">Measuring Using the Washington Group Questions – Easy Read version</w:t>
        </w:r>
      </w:hyperlink>
      <w:r w:rsidDel="00000000" w:rsidR="00000000" w:rsidRPr="00000000">
        <w:rPr>
          <w:rFonts w:ascii="Proxima Nova" w:cs="Proxima Nova" w:eastAsia="Proxima Nova" w:hAnsi="Proxima Nova"/>
          <w:sz w:val="22"/>
          <w:szCs w:val="22"/>
          <w:rtl w:val="0"/>
        </w:rPr>
        <w:t xml:space="preserve">, 2018</w:t>
      </w:r>
    </w:p>
    <w:p w:rsidR="00000000" w:rsidDel="00000000" w:rsidP="00000000" w:rsidRDefault="00000000" w:rsidRPr="00000000" w14:paraId="000000AD">
      <w:pPr>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E">
      <w:pPr>
        <w:pStyle w:val="Heading3"/>
        <w:rPr/>
      </w:pPr>
      <w:bookmarkStart w:colFirst="0" w:colLast="0" w:name="_heading=h.xq4atqj8pkqx" w:id="8"/>
      <w:bookmarkEnd w:id="8"/>
      <w:r w:rsidDel="00000000" w:rsidR="00000000" w:rsidRPr="00000000">
        <w:rPr>
          <w:smallCaps w:val="1"/>
          <w:rtl w:val="0"/>
        </w:rPr>
        <w:t xml:space="preserve">ANALYSE DE LA SITUATION ET INDICATEURS</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0AF">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Tout sondage ou examen portant sur les connaissances, les attitudes et les pratiques en matière d’éducation, de santé, de SDSR, de VFG ou d’autres domaines thématiques pertinents devraient également inclure des questions sur les éléments suivants :</w:t>
      </w:r>
    </w:p>
    <w:p w:rsidR="00000000" w:rsidDel="00000000" w:rsidP="00000000" w:rsidRDefault="00000000" w:rsidRPr="00000000" w14:paraId="000000B0">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B1">
      <w:pPr>
        <w:numPr>
          <w:ilvl w:val="0"/>
          <w:numId w:val="3"/>
        </w:numPr>
        <w:ind w:left="720" w:hanging="360"/>
        <w:rPr>
          <w:rFonts w:ascii="Aptos" w:cs="Aptos" w:eastAsia="Aptos" w:hAnsi="Aptos"/>
          <w:b w:val="0"/>
          <w:bCs w:val="0"/>
          <w:color w:val="000000"/>
          <w:sz w:val="22"/>
          <w:szCs w:val="22"/>
        </w:rPr>
      </w:pPr>
      <w:r w:rsidDel="00000000" w:rsidR="00000000" w:rsidRPr="00000000">
        <w:rPr>
          <w:rFonts w:ascii="Proxima Nova" w:cs="Proxima Nova" w:eastAsia="Proxima Nova" w:hAnsi="Proxima Nova"/>
          <w:b w:val="1"/>
          <w:bCs w:val="1"/>
          <w:sz w:val="22"/>
          <w:szCs w:val="22"/>
          <w:rtl w:val="0"/>
        </w:rPr>
        <w:t xml:space="preserve">L’accessibilité</w:t>
      </w:r>
      <w:r w:rsidDel="00000000" w:rsidR="00000000" w:rsidRPr="00000000">
        <w:rPr>
          <w:rFonts w:ascii="Proxima Nova" w:cs="Proxima Nova" w:eastAsia="Proxima Nova" w:hAnsi="Proxima Nova"/>
          <w:sz w:val="22"/>
          <w:szCs w:val="22"/>
          <w:rtl w:val="0"/>
        </w:rPr>
        <w:t xml:space="preserve"> : les services sont-ils accessibles aux personnes en situation de handicap (accès physique, information accessible, communication adaptée ou alternative)?</w:t>
      </w:r>
    </w:p>
    <w:p w:rsidR="00000000" w:rsidDel="00000000" w:rsidP="00000000" w:rsidRDefault="00000000" w:rsidRPr="00000000" w14:paraId="000000B2">
      <w:pPr>
        <w:numPr>
          <w:ilvl w:val="0"/>
          <w:numId w:val="3"/>
        </w:numPr>
        <w:ind w:left="720" w:hanging="360"/>
        <w:rPr>
          <w:rFonts w:ascii="Aptos" w:cs="Aptos" w:eastAsia="Aptos" w:hAnsi="Aptos"/>
          <w:b w:val="0"/>
          <w:bCs w:val="0"/>
          <w:color w:val="000000"/>
          <w:sz w:val="22"/>
          <w:szCs w:val="22"/>
        </w:rPr>
      </w:pPr>
      <w:r w:rsidDel="00000000" w:rsidR="00000000" w:rsidRPr="00000000">
        <w:rPr>
          <w:rFonts w:ascii="Proxima Nova" w:cs="Proxima Nova" w:eastAsia="Proxima Nova" w:hAnsi="Proxima Nova"/>
          <w:b w:val="1"/>
          <w:bCs w:val="1"/>
          <w:sz w:val="22"/>
          <w:szCs w:val="22"/>
          <w:rtl w:val="0"/>
        </w:rPr>
        <w:t xml:space="preserve">Les attitudes</w:t>
      </w:r>
      <w:r w:rsidDel="00000000" w:rsidR="00000000" w:rsidRPr="00000000">
        <w:rPr>
          <w:rFonts w:ascii="Proxima Nova" w:cs="Proxima Nova" w:eastAsia="Proxima Nova" w:hAnsi="Proxima Nova"/>
          <w:sz w:val="22"/>
          <w:szCs w:val="22"/>
          <w:rtl w:val="0"/>
        </w:rPr>
        <w:t xml:space="preserve"> : les filles, les garçons, les enfants non binaires, ainsi que les jeunes et les personnes âgées en situation de handicap sont-ils bien accueillis, soutenus pour participer et s’exprimer, et traités de façon équitable et respectueuse par rapport à leurs pairs n’ayant aucun handicap?</w:t>
      </w:r>
    </w:p>
    <w:p w:rsidR="00000000" w:rsidDel="00000000" w:rsidP="00000000" w:rsidRDefault="00000000" w:rsidRPr="00000000" w14:paraId="000000B3">
      <w:pPr>
        <w:numPr>
          <w:ilvl w:val="0"/>
          <w:numId w:val="3"/>
        </w:numPr>
        <w:ind w:left="720" w:hanging="360"/>
        <w:rPr>
          <w:rFonts w:ascii="Aptos" w:cs="Aptos" w:eastAsia="Aptos" w:hAnsi="Aptos"/>
          <w:b w:val="0"/>
          <w:bCs w:val="0"/>
          <w:color w:val="000000"/>
          <w:sz w:val="22"/>
          <w:szCs w:val="22"/>
        </w:rPr>
      </w:pPr>
      <w:r w:rsidDel="00000000" w:rsidR="00000000" w:rsidRPr="00000000">
        <w:rPr>
          <w:rFonts w:ascii="Proxima Nova" w:cs="Proxima Nova" w:eastAsia="Proxima Nova" w:hAnsi="Proxima Nova"/>
          <w:b w:val="1"/>
          <w:bCs w:val="1"/>
          <w:sz w:val="22"/>
          <w:szCs w:val="22"/>
          <w:rtl w:val="0"/>
        </w:rPr>
        <w:t xml:space="preserve">Mise en place de mesures ciblées</w:t>
      </w:r>
      <w:r w:rsidDel="00000000" w:rsidR="00000000" w:rsidRPr="00000000">
        <w:rPr>
          <w:rFonts w:ascii="Proxima Nova" w:cs="Proxima Nova" w:eastAsia="Proxima Nova" w:hAnsi="Proxima Nova"/>
          <w:sz w:val="22"/>
          <w:szCs w:val="22"/>
          <w:rtl w:val="0"/>
        </w:rPr>
        <w:t xml:space="preserve"> : existe-t-il des politiques et des mécanismes qui visent à inclure de façon systématique les personnes en situation de handicap dans toute leur diversité, plutôt que de répondre ponctuellement au cas par cas lorsque la situation se présente?</w:t>
      </w:r>
    </w:p>
    <w:p w:rsidR="00000000" w:rsidDel="00000000" w:rsidP="00000000" w:rsidRDefault="00000000" w:rsidRPr="00000000" w14:paraId="000000B4">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B5">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Voici quelques exemples de questions adaptées :</w:t>
      </w:r>
    </w:p>
    <w:p w:rsidR="00000000" w:rsidDel="00000000" w:rsidP="00000000" w:rsidRDefault="00000000" w:rsidRPr="00000000" w14:paraId="000000B6">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B7">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color w:val="ffffff"/>
          <w:sz w:val="22"/>
          <w:szCs w:val="22"/>
          <w:shd w:fill="3a4888" w:val="clear"/>
          <w:rtl w:val="0"/>
        </w:rPr>
        <w:t xml:space="preserve">Question originale </w:t>
      </w:r>
      <w:r w:rsidDel="00000000" w:rsidR="00000000" w:rsidRPr="00000000">
        <w:rPr>
          <w:rFonts w:ascii="Proxima Nova" w:cs="Proxima Nova" w:eastAsia="Proxima Nova" w:hAnsi="Proxima Nova"/>
          <w:sz w:val="22"/>
          <w:szCs w:val="22"/>
          <w:rtl w:val="0"/>
        </w:rPr>
        <w:br w:type="textWrapping"/>
        <w:t xml:space="preserve">Quels sont les plans d’action, les politiques et les stratégies du gouvernement en matière de droits des femmes et d’égalité des genres?</w:t>
      </w:r>
      <w:r w:rsidDel="00000000" w:rsidR="00000000" w:rsidRPr="00000000">
        <w:rPr>
          <w:rFonts w:ascii="Proxima Nova" w:cs="Proxima Nova" w:eastAsia="Proxima Nova" w:hAnsi="Proxima Nova"/>
          <w:b w:val="1"/>
          <w:bCs w:val="1"/>
          <w:sz w:val="22"/>
          <w:szCs w:val="22"/>
          <w:rtl w:val="0"/>
        </w:rPr>
        <w:t xml:space="preserve"> </w:t>
      </w:r>
    </w:p>
    <w:p w:rsidR="00000000" w:rsidDel="00000000" w:rsidP="00000000" w:rsidRDefault="00000000" w:rsidRPr="00000000" w14:paraId="000000B8">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 </w:t>
      </w:r>
    </w:p>
    <w:p w:rsidR="00000000" w:rsidDel="00000000" w:rsidP="00000000" w:rsidRDefault="00000000" w:rsidRPr="00000000" w14:paraId="000000B9">
      <w:pPr>
        <w:ind w:left="0" w:firstLine="0"/>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Reformulation ou question de suivi qui tient compte des handicaps</w:t>
      </w:r>
      <w:r w:rsidDel="00000000" w:rsidR="00000000" w:rsidRPr="00000000">
        <w:rPr>
          <w:rtl w:val="0"/>
        </w:rPr>
      </w:r>
    </w:p>
    <w:p w:rsidR="00000000" w:rsidDel="00000000" w:rsidP="00000000" w:rsidRDefault="00000000" w:rsidRPr="00000000" w14:paraId="000000BA">
      <w:pPr>
        <w:numPr>
          <w:ilvl w:val="0"/>
          <w:numId w:val="10"/>
        </w:numPr>
        <w:ind w:left="450" w:hanging="360"/>
        <w:rPr>
          <w:rFonts w:ascii="Proxima Nova" w:cs="Proxima Nova" w:eastAsia="Proxima Nova" w:hAnsi="Proxima Nova"/>
          <w:sz w:val="22"/>
          <w:szCs w:val="22"/>
          <w:u w:val="none"/>
        </w:rPr>
      </w:pPr>
      <w:r w:rsidDel="00000000" w:rsidR="00000000" w:rsidRPr="00000000">
        <w:rPr>
          <w:rFonts w:ascii="Proxima Nova" w:cs="Proxima Nova" w:eastAsia="Proxima Nova" w:hAnsi="Proxima Nova"/>
          <w:sz w:val="22"/>
          <w:szCs w:val="22"/>
          <w:rtl w:val="0"/>
        </w:rPr>
        <w:t xml:space="preserve">Quels sont les plans d’action, les politiques et les stratégies du gouvernement en matière de droits des femmes, </w:t>
      </w:r>
      <w:r w:rsidDel="00000000" w:rsidR="00000000" w:rsidRPr="00000000">
        <w:rPr>
          <w:rFonts w:ascii="Proxima Nova" w:cs="Proxima Nova" w:eastAsia="Proxima Nova" w:hAnsi="Proxima Nova"/>
          <w:color w:val="993365"/>
          <w:sz w:val="22"/>
          <w:szCs w:val="22"/>
          <w:u w:val="single"/>
          <w:rtl w:val="0"/>
        </w:rPr>
        <w:t xml:space="preserve">et dans quelle mesure les femmes en situation de handicap y sont-elles incluses, par exemple au moyen d’articles spécifiques ou de références explicites à leur situation particulière?</w:t>
      </w:r>
      <w:r w:rsidDel="00000000" w:rsidR="00000000" w:rsidRPr="00000000">
        <w:rPr>
          <w:rFonts w:ascii="Proxima Nova" w:cs="Proxima Nova" w:eastAsia="Proxima Nova" w:hAnsi="Proxima Nova"/>
          <w:color w:val="7030a0"/>
          <w:sz w:val="22"/>
          <w:szCs w:val="22"/>
          <w:rtl w:val="0"/>
        </w:rPr>
        <w:t xml:space="preserve"> </w:t>
      </w:r>
      <w:r w:rsidDel="00000000" w:rsidR="00000000" w:rsidRPr="00000000">
        <w:rPr>
          <w:rtl w:val="0"/>
        </w:rPr>
      </w:r>
    </w:p>
    <w:p w:rsidR="00000000" w:rsidDel="00000000" w:rsidP="00000000" w:rsidRDefault="00000000" w:rsidRPr="00000000" w14:paraId="000000BB">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BC">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Question de suivi</w:t>
      </w:r>
      <w:r w:rsidDel="00000000" w:rsidR="00000000" w:rsidRPr="00000000">
        <w:rPr>
          <w:rFonts w:ascii="Proxima Nova" w:cs="Proxima Nova" w:eastAsia="Proxima Nova" w:hAnsi="Proxima Nova"/>
          <w:sz w:val="22"/>
          <w:szCs w:val="22"/>
          <w:rtl w:val="0"/>
        </w:rPr>
        <w:t xml:space="preserve"> </w:t>
      </w:r>
    </w:p>
    <w:p w:rsidR="00000000" w:rsidDel="00000000" w:rsidP="00000000" w:rsidRDefault="00000000" w:rsidRPr="00000000" w14:paraId="000000BD">
      <w:pPr>
        <w:numPr>
          <w:ilvl w:val="0"/>
          <w:numId w:val="11"/>
        </w:numPr>
        <w:ind w:left="450" w:hanging="360"/>
        <w:rPr>
          <w:rFonts w:ascii="Proxima Nova" w:cs="Proxima Nova" w:eastAsia="Proxima Nova" w:hAnsi="Proxima Nova"/>
          <w:sz w:val="22"/>
          <w:szCs w:val="22"/>
          <w:u w:val="none"/>
        </w:rPr>
      </w:pPr>
      <w:r w:rsidDel="00000000" w:rsidR="00000000" w:rsidRPr="00000000">
        <w:rPr>
          <w:rFonts w:ascii="Proxima Nova" w:cs="Proxima Nova" w:eastAsia="Proxima Nova" w:hAnsi="Proxima Nova"/>
          <w:color w:val="993365"/>
          <w:sz w:val="22"/>
          <w:szCs w:val="22"/>
          <w:u w:val="single"/>
          <w:rtl w:val="0"/>
        </w:rPr>
        <w:t xml:space="preserve">Les budgets prévus pour la mise en œuvre de ces politiques, stratégies et plans d’action intègrent-ils des mesures d’accommodement raisonnable afin d’assurer l’inclusion des femmes ayant différents types de handicaps?</w:t>
      </w:r>
      <w:r w:rsidDel="00000000" w:rsidR="00000000" w:rsidRPr="00000000">
        <w:rPr>
          <w:rFonts w:ascii="Proxima Nova" w:cs="Proxima Nova" w:eastAsia="Proxima Nova" w:hAnsi="Proxima Nova"/>
          <w:color w:val="7030a0"/>
          <w:sz w:val="22"/>
          <w:szCs w:val="22"/>
          <w:u w:val="single"/>
          <w:rtl w:val="0"/>
        </w:rPr>
        <w:t xml:space="preserve"> </w:t>
      </w:r>
      <w:r w:rsidDel="00000000" w:rsidR="00000000" w:rsidRPr="00000000">
        <w:rPr>
          <w:rtl w:val="0"/>
        </w:rPr>
      </w:r>
    </w:p>
    <w:p w:rsidR="00000000" w:rsidDel="00000000" w:rsidP="00000000" w:rsidRDefault="00000000" w:rsidRPr="00000000" w14:paraId="000000BE">
      <w:pPr>
        <w:rPr>
          <w:rFonts w:ascii="Proxima Nova" w:cs="Proxima Nova" w:eastAsia="Proxima Nova" w:hAnsi="Proxima Nova"/>
          <w:i w:val="1"/>
          <w:iCs w:val="1"/>
          <w:sz w:val="22"/>
          <w:szCs w:val="22"/>
        </w:rPr>
      </w:pPr>
      <w:r w:rsidDel="00000000" w:rsidR="00000000" w:rsidRPr="00000000">
        <w:rPr>
          <w:rtl w:val="0"/>
        </w:rPr>
      </w:r>
    </w:p>
    <w:p w:rsidR="00000000" w:rsidDel="00000000" w:rsidP="00000000" w:rsidRDefault="00000000" w:rsidRPr="00000000" w14:paraId="000000BF">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color w:val="ffffff"/>
          <w:sz w:val="22"/>
          <w:szCs w:val="22"/>
          <w:shd w:fill="3a4888" w:val="clear"/>
          <w:rtl w:val="0"/>
        </w:rPr>
        <w:t xml:space="preserve">Question originale</w:t>
      </w:r>
      <w:r w:rsidDel="00000000" w:rsidR="00000000" w:rsidRPr="00000000">
        <w:rPr>
          <w:rFonts w:ascii="Proxima Nova" w:cs="Proxima Nova" w:eastAsia="Proxima Nova" w:hAnsi="Proxima Nova"/>
          <w:sz w:val="22"/>
          <w:szCs w:val="22"/>
          <w:rtl w:val="0"/>
        </w:rPr>
        <w:t xml:space="preserve"> </w:t>
        <w:br w:type="textWrapping"/>
        <w:t xml:space="preserve">Existe-t-il des espaces sûrs pour les femmes, où elles peuvent participer à des activités récréatives, recevoir du soutien psychosocial ou accéder à d’autres formes d’accompagnement?</w:t>
      </w:r>
    </w:p>
    <w:p w:rsidR="00000000" w:rsidDel="00000000" w:rsidP="00000000" w:rsidRDefault="00000000" w:rsidRPr="00000000" w14:paraId="000000C0">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C1">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Reformulation ou question de suivi qui tient compte des handicaps</w:t>
      </w:r>
      <w:r w:rsidDel="00000000" w:rsidR="00000000" w:rsidRPr="00000000">
        <w:rPr>
          <w:rtl w:val="0"/>
        </w:rPr>
      </w:r>
    </w:p>
    <w:p w:rsidR="00000000" w:rsidDel="00000000" w:rsidP="00000000" w:rsidRDefault="00000000" w:rsidRPr="00000000" w14:paraId="000000C2">
      <w:pPr>
        <w:numPr>
          <w:ilvl w:val="0"/>
          <w:numId w:val="22"/>
        </w:numPr>
        <w:ind w:left="450" w:hanging="360"/>
        <w:rPr>
          <w:rFonts w:ascii="Proxima Nova" w:cs="Proxima Nova" w:eastAsia="Proxima Nova" w:hAnsi="Proxima Nova"/>
          <w:sz w:val="22"/>
          <w:szCs w:val="22"/>
          <w:u w:val="none"/>
        </w:rPr>
      </w:pPr>
      <w:r w:rsidDel="00000000" w:rsidR="00000000" w:rsidRPr="00000000">
        <w:rPr>
          <w:rFonts w:ascii="Proxima Nova" w:cs="Proxima Nova" w:eastAsia="Proxima Nova" w:hAnsi="Proxima Nova"/>
          <w:sz w:val="22"/>
          <w:szCs w:val="22"/>
          <w:rtl w:val="0"/>
        </w:rPr>
        <w:t xml:space="preserve">Existe-t-il des espaces sûrs pour les femmes, </w:t>
      </w:r>
      <w:r w:rsidDel="00000000" w:rsidR="00000000" w:rsidRPr="00000000">
        <w:rPr>
          <w:rFonts w:ascii="Proxima Nova" w:cs="Proxima Nova" w:eastAsia="Proxima Nova" w:hAnsi="Proxima Nova"/>
          <w:color w:val="993365"/>
          <w:sz w:val="22"/>
          <w:szCs w:val="22"/>
          <w:u w:val="single"/>
          <w:rtl w:val="0"/>
        </w:rPr>
        <w:t xml:space="preserve">également accessibles aux femmes en situation de handicap</w:t>
      </w:r>
      <w:r w:rsidDel="00000000" w:rsidR="00000000" w:rsidRPr="00000000">
        <w:rPr>
          <w:rFonts w:ascii="Proxima Nova" w:cs="Proxima Nova" w:eastAsia="Proxima Nova" w:hAnsi="Proxima Nova"/>
          <w:sz w:val="22"/>
          <w:szCs w:val="22"/>
          <w:rtl w:val="0"/>
        </w:rPr>
        <w:t xml:space="preserve">, où elles peuvent participer à des activités récréatives, recevoir du soutien psychosocial ou accéder à d’autres formes d’accompagnement?</w:t>
      </w:r>
      <w:r w:rsidDel="00000000" w:rsidR="00000000" w:rsidRPr="00000000">
        <w:rPr>
          <w:rFonts w:ascii="Proxima Nova" w:cs="Proxima Nova" w:eastAsia="Proxima Nova" w:hAnsi="Proxima Nova"/>
          <w:b w:val="1"/>
          <w:bCs w:val="1"/>
          <w:sz w:val="22"/>
          <w:szCs w:val="22"/>
          <w:rtl w:val="0"/>
        </w:rPr>
        <w:t xml:space="preserve"> </w:t>
      </w:r>
    </w:p>
    <w:p w:rsidR="00000000" w:rsidDel="00000000" w:rsidP="00000000" w:rsidRDefault="00000000" w:rsidRPr="00000000" w14:paraId="000000C3">
      <w:pPr>
        <w:numPr>
          <w:ilvl w:val="0"/>
          <w:numId w:val="22"/>
        </w:numPr>
        <w:ind w:left="450" w:hanging="360"/>
        <w:rPr>
          <w:rFonts w:ascii="Proxima Nova" w:cs="Proxima Nova" w:eastAsia="Proxima Nova" w:hAnsi="Proxima Nova"/>
          <w:sz w:val="22"/>
          <w:szCs w:val="22"/>
          <w:u w:val="none"/>
        </w:rPr>
      </w:pPr>
      <w:r w:rsidDel="00000000" w:rsidR="00000000" w:rsidRPr="00000000">
        <w:rPr>
          <w:rFonts w:ascii="Proxima Nova" w:cs="Proxima Nova" w:eastAsia="Proxima Nova" w:hAnsi="Proxima Nova"/>
          <w:color w:val="993365"/>
          <w:sz w:val="22"/>
          <w:szCs w:val="22"/>
          <w:u w:val="single"/>
          <w:rtl w:val="0"/>
        </w:rPr>
        <w:t xml:space="preserve">Ces activités sont-elles inclusives et adaptées pour permettre aux femmes vivant avec différents types de handicaps d’y participer? </w:t>
      </w:r>
    </w:p>
    <w:p w:rsidR="00000000" w:rsidDel="00000000" w:rsidP="00000000" w:rsidRDefault="00000000" w:rsidRPr="00000000" w14:paraId="000000C4">
      <w:pPr>
        <w:numPr>
          <w:ilvl w:val="0"/>
          <w:numId w:val="22"/>
        </w:numPr>
        <w:ind w:left="450" w:hanging="360"/>
        <w:rPr>
          <w:rFonts w:ascii="Proxima Nova" w:cs="Proxima Nova" w:eastAsia="Proxima Nova" w:hAnsi="Proxima Nova"/>
          <w:sz w:val="22"/>
          <w:szCs w:val="22"/>
          <w:u w:val="none"/>
        </w:rPr>
      </w:pPr>
      <w:r w:rsidDel="00000000" w:rsidR="00000000" w:rsidRPr="00000000">
        <w:rPr>
          <w:rFonts w:ascii="Proxima Nova" w:cs="Proxima Nova" w:eastAsia="Proxima Nova" w:hAnsi="Proxima Nova"/>
          <w:color w:val="993365"/>
          <w:sz w:val="22"/>
          <w:szCs w:val="22"/>
          <w:u w:val="single"/>
          <w:rtl w:val="0"/>
        </w:rPr>
        <w:t xml:space="preserve">Les séances de soutien psychosocial sont-elles accessibles, notamment en offrant des modes de communication appropriés pour les femmes ayant une déficience auditive ou intellectuelle?</w:t>
      </w:r>
      <w:r w:rsidDel="00000000" w:rsidR="00000000" w:rsidRPr="00000000">
        <w:rPr>
          <w:rtl w:val="0"/>
        </w:rPr>
      </w:r>
    </w:p>
    <w:p w:rsidR="00000000" w:rsidDel="00000000" w:rsidP="00000000" w:rsidRDefault="00000000" w:rsidRPr="00000000" w14:paraId="000000C5">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C6">
      <w:pPr>
        <w:pStyle w:val="Heading4"/>
        <w:rPr/>
      </w:pPr>
      <w:bookmarkStart w:colFirst="0" w:colLast="0" w:name="_heading=h.6z30k4ffrlyl" w:id="9"/>
      <w:bookmarkEnd w:id="9"/>
      <w:r w:rsidDel="00000000" w:rsidR="00000000" w:rsidRPr="00000000">
        <w:rPr>
          <w:rtl w:val="0"/>
        </w:rPr>
        <w:t xml:space="preserve">Ressources supplémentaires :</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numPr>
          <w:ilvl w:val="0"/>
          <w:numId w:val="15"/>
        </w:numPr>
        <w:ind w:left="720" w:hanging="360"/>
        <w:rPr>
          <w:rFonts w:ascii="Proxima Nova" w:cs="Proxima Nova" w:eastAsia="Proxima Nova" w:hAnsi="Proxima Nova"/>
          <w:color w:val="000000"/>
          <w:sz w:val="22"/>
          <w:szCs w:val="22"/>
        </w:rPr>
      </w:pPr>
      <w:hyperlink r:id="rId17">
        <w:r w:rsidDel="00000000" w:rsidR="00000000" w:rsidRPr="00000000">
          <w:rPr>
            <w:rFonts w:ascii="Proxima Nova" w:cs="Proxima Nova" w:eastAsia="Proxima Nova" w:hAnsi="Proxima Nova"/>
            <w:color w:val="3a4888"/>
            <w:sz w:val="22"/>
            <w:szCs w:val="22"/>
            <w:u w:val="single"/>
            <w:rtl w:val="0"/>
          </w:rPr>
          <w:t xml:space="preserve">UNICEF Guidelines for Disability Situation Analyses</w:t>
        </w:r>
      </w:hyperlink>
      <w:r w:rsidDel="00000000" w:rsidR="00000000" w:rsidRPr="00000000">
        <w:rPr>
          <w:rFonts w:ascii="Proxima Nova" w:cs="Proxima Nova" w:eastAsia="Proxima Nova" w:hAnsi="Proxima Nova"/>
          <w:sz w:val="22"/>
          <w:szCs w:val="22"/>
          <w:rtl w:val="0"/>
        </w:rPr>
        <w:t xml:space="preserve"> : </w:t>
      </w:r>
    </w:p>
    <w:p w:rsidR="00000000" w:rsidDel="00000000" w:rsidP="00000000" w:rsidRDefault="00000000" w:rsidRPr="00000000" w14:paraId="000000C9">
      <w:pPr>
        <w:numPr>
          <w:ilvl w:val="0"/>
          <w:numId w:val="15"/>
        </w:numPr>
        <w:ind w:left="720" w:hanging="360"/>
        <w:rPr>
          <w:rFonts w:ascii="Proxima Nova" w:cs="Proxima Nova" w:eastAsia="Proxima Nova" w:hAnsi="Proxima Nova"/>
          <w:color w:val="425168"/>
          <w:sz w:val="22"/>
          <w:szCs w:val="22"/>
        </w:rPr>
      </w:pPr>
      <w:hyperlink r:id="rId18">
        <w:r w:rsidDel="00000000" w:rsidR="00000000" w:rsidRPr="00000000">
          <w:rPr>
            <w:rFonts w:ascii="Proxima Nova" w:cs="Proxima Nova" w:eastAsia="Proxima Nova" w:hAnsi="Proxima Nova"/>
            <w:color w:val="3a4888"/>
            <w:sz w:val="22"/>
            <w:szCs w:val="22"/>
            <w:u w:val="single"/>
            <w:rtl w:val="0"/>
          </w:rPr>
          <w:t xml:space="preserve">FNUAP : Situational Analysis: Access to Sexual and Reproductive Health and Rights (SRHR) for Young Persons with Disabilities in East and Southern Africa</w:t>
        </w:r>
      </w:hyperlink>
      <w:r w:rsidDel="00000000" w:rsidR="00000000" w:rsidRPr="00000000">
        <w:rPr>
          <w:rFonts w:ascii="Proxima Nova" w:cs="Proxima Nova" w:eastAsia="Proxima Nova" w:hAnsi="Proxima Nova"/>
          <w:color w:val="425168"/>
          <w:sz w:val="22"/>
          <w:szCs w:val="22"/>
          <w:rtl w:val="0"/>
        </w:rPr>
        <w:t xml:space="preserve">. </w:t>
      </w:r>
    </w:p>
    <w:p w:rsidR="00000000" w:rsidDel="00000000" w:rsidP="00000000" w:rsidRDefault="00000000" w:rsidRPr="00000000" w14:paraId="000000CA">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CB">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Tout comme des questions ciblées dans une analyse de la situation permettent de mieux comprendre la réalité des personnes en situation de handicap et de la comparer à celle d’autres groupes, les </w:t>
      </w:r>
      <w:r w:rsidDel="00000000" w:rsidR="00000000" w:rsidRPr="00000000">
        <w:rPr>
          <w:rFonts w:ascii="Proxima Nova" w:cs="Proxima Nova" w:eastAsia="Proxima Nova" w:hAnsi="Proxima Nova"/>
          <w:b w:val="1"/>
          <w:bCs w:val="1"/>
          <w:color w:val="993365"/>
          <w:sz w:val="22"/>
          <w:szCs w:val="22"/>
          <w:rtl w:val="0"/>
        </w:rPr>
        <w:t xml:space="preserve">indicateurs qui tiennent compte du handicap</w:t>
      </w:r>
      <w:r w:rsidDel="00000000" w:rsidR="00000000" w:rsidRPr="00000000">
        <w:rPr>
          <w:rFonts w:ascii="Proxima Nova" w:cs="Proxima Nova" w:eastAsia="Proxima Nova" w:hAnsi="Proxima Nova"/>
          <w:sz w:val="22"/>
          <w:szCs w:val="22"/>
          <w:rtl w:val="0"/>
        </w:rPr>
        <w:t xml:space="preserve"> sont essentiels pour assurer un suivi et une évaluation efficaces des activités et des résultats tout au long du cycle du projet. Si les indicateurs ne font pas explicitement référence à la ventilation des données selon le handicap, il est peu probable que les activités de suivi et d’évaluation recueillent de façon active et systématique des données sur les participant·es en situation de handicap. Il y a alors un risque important que ces personnes, leurs expériences et les effets (positifs ou négatifs) des interventions sur leur vie demeurent invisibles et non pris en compte. Voici quelques exemples d’indicateurs sur la VFG.</w:t>
      </w:r>
    </w:p>
    <w:p w:rsidR="00000000" w:rsidDel="00000000" w:rsidP="00000000" w:rsidRDefault="00000000" w:rsidRPr="00000000" w14:paraId="000000CC">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CD">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color w:val="ffffff"/>
          <w:sz w:val="22"/>
          <w:szCs w:val="22"/>
          <w:shd w:fill="3a4888" w:val="clear"/>
          <w:rtl w:val="0"/>
        </w:rPr>
        <w:t xml:space="preserve">Indicateur original</w:t>
      </w:r>
      <w:r w:rsidDel="00000000" w:rsidR="00000000" w:rsidRPr="00000000">
        <w:rPr>
          <w:rFonts w:ascii="Proxima Nova" w:cs="Proxima Nova" w:eastAsia="Proxima Nova" w:hAnsi="Proxima Nova"/>
          <w:b w:val="1"/>
          <w:bCs w:val="1"/>
          <w:sz w:val="22"/>
          <w:szCs w:val="22"/>
          <w:rtl w:val="0"/>
        </w:rPr>
        <w:t xml:space="preserve"> </w:t>
      </w:r>
      <w:r w:rsidDel="00000000" w:rsidR="00000000" w:rsidRPr="00000000">
        <w:rPr>
          <w:rFonts w:ascii="Proxima Nova" w:cs="Proxima Nova" w:eastAsia="Proxima Nova" w:hAnsi="Proxima Nova"/>
          <w:sz w:val="22"/>
          <w:szCs w:val="22"/>
          <w:rtl w:val="0"/>
        </w:rPr>
        <w:br w:type="textWrapping"/>
        <w:t xml:space="preserve">Proportion de services de santé comptant au moins un·e prestataire formé·e pour prendre en charge et orienter les survivantes de VFF.</w:t>
      </w:r>
    </w:p>
    <w:p w:rsidR="00000000" w:rsidDel="00000000" w:rsidP="00000000" w:rsidRDefault="00000000" w:rsidRPr="00000000" w14:paraId="000000CE">
      <w:pPr>
        <w:rPr>
          <w:rFonts w:ascii="Proxima Nova" w:cs="Proxima Nova" w:eastAsia="Proxima Nova" w:hAnsi="Proxima Nova"/>
          <w:b w:val="1"/>
          <w:bCs w:val="1"/>
          <w:sz w:val="22"/>
          <w:szCs w:val="22"/>
        </w:rPr>
      </w:pPr>
      <w:r w:rsidDel="00000000" w:rsidR="00000000" w:rsidRPr="00000000">
        <w:rPr>
          <w:rtl w:val="0"/>
        </w:rPr>
      </w:r>
    </w:p>
    <w:p w:rsidR="00000000" w:rsidDel="00000000" w:rsidP="00000000" w:rsidRDefault="00000000" w:rsidRPr="00000000" w14:paraId="000000CF">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Indicateur qui tient compte des personnes en situation de handicap</w:t>
      </w:r>
      <w:r w:rsidDel="00000000" w:rsidR="00000000" w:rsidRPr="00000000">
        <w:rPr>
          <w:rFonts w:ascii="Proxima Nova" w:cs="Proxima Nova" w:eastAsia="Proxima Nova" w:hAnsi="Proxima Nova"/>
          <w:sz w:val="22"/>
          <w:szCs w:val="22"/>
          <w:rtl w:val="0"/>
        </w:rPr>
        <w:t xml:space="preserve"> </w:t>
      </w:r>
    </w:p>
    <w:p w:rsidR="00000000" w:rsidDel="00000000" w:rsidP="00000000" w:rsidRDefault="00000000" w:rsidRPr="00000000" w14:paraId="000000D0">
      <w:pPr>
        <w:numPr>
          <w:ilvl w:val="0"/>
          <w:numId w:val="5"/>
        </w:numPr>
        <w:ind w:left="450" w:hanging="360"/>
        <w:rPr>
          <w:rFonts w:ascii="Proxima Nova" w:cs="Proxima Nova" w:eastAsia="Proxima Nova" w:hAnsi="Proxima Nova"/>
          <w:sz w:val="22"/>
          <w:szCs w:val="22"/>
          <w:u w:val="none"/>
        </w:rPr>
      </w:pPr>
      <w:r w:rsidDel="00000000" w:rsidR="00000000" w:rsidRPr="00000000">
        <w:rPr>
          <w:rFonts w:ascii="Proxima Nova" w:cs="Proxima Nova" w:eastAsia="Proxima Nova" w:hAnsi="Proxima Nova"/>
          <w:sz w:val="22"/>
          <w:szCs w:val="22"/>
          <w:rtl w:val="0"/>
        </w:rPr>
        <w:t xml:space="preserve">Proportion de services de santé comptant au moins un·e prestataire formé·e pour prendre en charge et orienter les survivantes de VFF </w:t>
      </w:r>
      <w:r w:rsidDel="00000000" w:rsidR="00000000" w:rsidRPr="00000000">
        <w:rPr>
          <w:rFonts w:ascii="Proxima Nova" w:cs="Proxima Nova" w:eastAsia="Proxima Nova" w:hAnsi="Proxima Nova"/>
          <w:color w:val="993365"/>
          <w:sz w:val="22"/>
          <w:szCs w:val="22"/>
          <w:rtl w:val="0"/>
        </w:rPr>
        <w:t xml:space="preserve">en situation de handicap</w:t>
      </w:r>
      <w:r w:rsidDel="00000000" w:rsidR="00000000" w:rsidRPr="00000000">
        <w:rPr>
          <w:rFonts w:ascii="Proxima Nova" w:cs="Proxima Nova" w:eastAsia="Proxima Nova" w:hAnsi="Proxima Nova"/>
          <w:color w:val="7030a0"/>
          <w:sz w:val="22"/>
          <w:szCs w:val="22"/>
          <w:rtl w:val="0"/>
        </w:rPr>
        <w:t xml:space="preserve"> </w:t>
      </w:r>
    </w:p>
    <w:p w:rsidR="00000000" w:rsidDel="00000000" w:rsidP="00000000" w:rsidRDefault="00000000" w:rsidRPr="00000000" w14:paraId="000000D1">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D2">
      <w:pPr>
        <w:rPr>
          <w:rFonts w:ascii="Proxima Nova" w:cs="Proxima Nova" w:eastAsia="Proxima Nova" w:hAnsi="Proxima Nova"/>
          <w:color w:val="ffffff"/>
          <w:sz w:val="22"/>
          <w:szCs w:val="22"/>
          <w:shd w:fill="3a4888" w:val="clear"/>
        </w:rPr>
      </w:pPr>
      <w:r w:rsidDel="00000000" w:rsidR="00000000" w:rsidRPr="00000000">
        <w:rPr>
          <w:rFonts w:ascii="Proxima Nova" w:cs="Proxima Nova" w:eastAsia="Proxima Nova" w:hAnsi="Proxima Nova"/>
          <w:b w:val="1"/>
          <w:bCs w:val="1"/>
          <w:color w:val="ffffff"/>
          <w:sz w:val="22"/>
          <w:szCs w:val="22"/>
          <w:shd w:fill="3a4888" w:val="clear"/>
          <w:rtl w:val="0"/>
        </w:rPr>
        <w:t xml:space="preserve">Indicateur original</w:t>
      </w:r>
      <w:r w:rsidDel="00000000" w:rsidR="00000000" w:rsidRPr="00000000">
        <w:rPr>
          <w:rtl w:val="0"/>
        </w:rPr>
      </w:r>
    </w:p>
    <w:p w:rsidR="00000000" w:rsidDel="00000000" w:rsidP="00000000" w:rsidRDefault="00000000" w:rsidRPr="00000000" w14:paraId="000000D3">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La proportion de cas de VFF ayant fait l’objet d’une enquête de police. </w:t>
      </w:r>
    </w:p>
    <w:p w:rsidR="00000000" w:rsidDel="00000000" w:rsidP="00000000" w:rsidRDefault="00000000" w:rsidRPr="00000000" w14:paraId="000000D4">
      <w:pPr>
        <w:rPr>
          <w:rFonts w:ascii="Proxima Nova" w:cs="Proxima Nova" w:eastAsia="Proxima Nova" w:hAnsi="Proxima Nova"/>
          <w:b w:val="1"/>
          <w:bCs w:val="1"/>
          <w:sz w:val="22"/>
          <w:szCs w:val="22"/>
        </w:rPr>
      </w:pPr>
      <w:r w:rsidDel="00000000" w:rsidR="00000000" w:rsidRPr="00000000">
        <w:rPr>
          <w:rtl w:val="0"/>
        </w:rPr>
      </w:r>
    </w:p>
    <w:p w:rsidR="00000000" w:rsidDel="00000000" w:rsidP="00000000" w:rsidRDefault="00000000" w:rsidRPr="00000000" w14:paraId="000000D5">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Indicateur qui tient compte des personnes en situation de handicap</w:t>
      </w:r>
      <w:r w:rsidDel="00000000" w:rsidR="00000000" w:rsidRPr="00000000">
        <w:rPr>
          <w:rFonts w:ascii="Proxima Nova" w:cs="Proxima Nova" w:eastAsia="Proxima Nova" w:hAnsi="Proxima Nova"/>
          <w:sz w:val="22"/>
          <w:szCs w:val="22"/>
          <w:rtl w:val="0"/>
        </w:rPr>
        <w:t xml:space="preserve"> </w:t>
      </w:r>
    </w:p>
    <w:p w:rsidR="00000000" w:rsidDel="00000000" w:rsidP="00000000" w:rsidRDefault="00000000" w:rsidRPr="00000000" w14:paraId="000000D6">
      <w:pPr>
        <w:numPr>
          <w:ilvl w:val="0"/>
          <w:numId w:val="12"/>
        </w:numPr>
        <w:ind w:left="450" w:hanging="360"/>
        <w:rPr>
          <w:rFonts w:ascii="Proxima Nova" w:cs="Proxima Nova" w:eastAsia="Proxima Nova" w:hAnsi="Proxima Nova"/>
          <w:sz w:val="22"/>
          <w:szCs w:val="22"/>
          <w:u w:val="none"/>
        </w:rPr>
      </w:pPr>
      <w:r w:rsidDel="00000000" w:rsidR="00000000" w:rsidRPr="00000000">
        <w:rPr>
          <w:rFonts w:ascii="Proxima Nova" w:cs="Proxima Nova" w:eastAsia="Proxima Nova" w:hAnsi="Proxima Nova"/>
          <w:sz w:val="22"/>
          <w:szCs w:val="22"/>
          <w:rtl w:val="0"/>
        </w:rPr>
        <w:t xml:space="preserve">Proportion des cas de violence sexuelle ayant fait l’objet d’une enquête policière, </w:t>
      </w:r>
      <w:r w:rsidDel="00000000" w:rsidR="00000000" w:rsidRPr="00000000">
        <w:rPr>
          <w:rFonts w:ascii="Proxima Nova" w:cs="Proxima Nova" w:eastAsia="Proxima Nova" w:hAnsi="Proxima Nova"/>
          <w:color w:val="993365"/>
          <w:sz w:val="22"/>
          <w:szCs w:val="22"/>
          <w:rtl w:val="0"/>
        </w:rPr>
        <w:t xml:space="preserve">avec ventilation des données par handicap (ou type de déficience)</w:t>
      </w:r>
      <w:r w:rsidDel="00000000" w:rsidR="00000000" w:rsidRPr="00000000">
        <w:rPr>
          <w:rFonts w:ascii="Proxima Nova" w:cs="Proxima Nova" w:eastAsia="Proxima Nova" w:hAnsi="Proxima Nova"/>
          <w:color w:val="2e75b5"/>
          <w:sz w:val="22"/>
          <w:szCs w:val="22"/>
          <w:rtl w:val="0"/>
        </w:rPr>
        <w:t xml:space="preserve"> </w:t>
      </w:r>
      <w:r w:rsidDel="00000000" w:rsidR="00000000" w:rsidRPr="00000000">
        <w:rPr>
          <w:rFonts w:ascii="Proxima Nova" w:cs="Proxima Nova" w:eastAsia="Proxima Nova" w:hAnsi="Proxima Nova"/>
          <w:sz w:val="22"/>
          <w:szCs w:val="22"/>
          <w:rtl w:val="0"/>
        </w:rPr>
        <w:t xml:space="preserve">et par âge.</w:t>
      </w:r>
    </w:p>
    <w:p w:rsidR="00000000" w:rsidDel="00000000" w:rsidP="00000000" w:rsidRDefault="00000000" w:rsidRPr="00000000" w14:paraId="000000D7">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D8">
      <w:pPr>
        <w:rPr>
          <w:rFonts w:ascii="Proxima Nova" w:cs="Proxima Nova" w:eastAsia="Proxima Nova" w:hAnsi="Proxima Nova"/>
          <w:color w:val="ffffff"/>
          <w:sz w:val="22"/>
          <w:szCs w:val="22"/>
          <w:shd w:fill="3a4888" w:val="clear"/>
        </w:rPr>
      </w:pPr>
      <w:r w:rsidDel="00000000" w:rsidR="00000000" w:rsidRPr="00000000">
        <w:rPr>
          <w:rFonts w:ascii="Proxima Nova" w:cs="Proxima Nova" w:eastAsia="Proxima Nova" w:hAnsi="Proxima Nova"/>
          <w:b w:val="1"/>
          <w:bCs w:val="1"/>
          <w:color w:val="ffffff"/>
          <w:sz w:val="22"/>
          <w:szCs w:val="22"/>
          <w:shd w:fill="3a4888" w:val="clear"/>
          <w:rtl w:val="0"/>
        </w:rPr>
        <w:t xml:space="preserve">Indicateur original</w:t>
      </w:r>
      <w:r w:rsidDel="00000000" w:rsidR="00000000" w:rsidRPr="00000000">
        <w:rPr>
          <w:rtl w:val="0"/>
        </w:rPr>
      </w:r>
    </w:p>
    <w:p w:rsidR="00000000" w:rsidDel="00000000" w:rsidP="00000000" w:rsidRDefault="00000000" w:rsidRPr="00000000" w14:paraId="000000D9">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Proportion de services de police appliquant un protocole national établi pour les plaintes liées à la VFF. </w:t>
      </w:r>
    </w:p>
    <w:p w:rsidR="00000000" w:rsidDel="00000000" w:rsidP="00000000" w:rsidRDefault="00000000" w:rsidRPr="00000000" w14:paraId="000000DA">
      <w:pPr>
        <w:rPr>
          <w:rFonts w:ascii="Proxima Nova" w:cs="Proxima Nova" w:eastAsia="Proxima Nova" w:hAnsi="Proxima Nova"/>
          <w:b w:val="1"/>
          <w:bCs w:val="1"/>
          <w:sz w:val="22"/>
          <w:szCs w:val="22"/>
        </w:rPr>
      </w:pPr>
      <w:r w:rsidDel="00000000" w:rsidR="00000000" w:rsidRPr="00000000">
        <w:rPr>
          <w:rtl w:val="0"/>
        </w:rPr>
      </w:r>
    </w:p>
    <w:p w:rsidR="00000000" w:rsidDel="00000000" w:rsidP="00000000" w:rsidRDefault="00000000" w:rsidRPr="00000000" w14:paraId="000000DB">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Indicateur qui tient compte des personnes en situation de handicap</w:t>
      </w:r>
      <w:r w:rsidDel="00000000" w:rsidR="00000000" w:rsidRPr="00000000">
        <w:rPr>
          <w:rFonts w:ascii="Proxima Nova" w:cs="Proxima Nova" w:eastAsia="Proxima Nova" w:hAnsi="Proxima Nova"/>
          <w:sz w:val="22"/>
          <w:szCs w:val="22"/>
          <w:rtl w:val="0"/>
        </w:rPr>
        <w:t xml:space="preserve"> </w:t>
      </w:r>
    </w:p>
    <w:p w:rsidR="00000000" w:rsidDel="00000000" w:rsidP="00000000" w:rsidRDefault="00000000" w:rsidRPr="00000000" w14:paraId="000000DC">
      <w:pPr>
        <w:numPr>
          <w:ilvl w:val="0"/>
          <w:numId w:val="19"/>
        </w:numPr>
        <w:ind w:left="450" w:hanging="360"/>
        <w:rPr>
          <w:rFonts w:ascii="Proxima Nova" w:cs="Proxima Nova" w:eastAsia="Proxima Nova" w:hAnsi="Proxima Nova"/>
          <w:sz w:val="22"/>
          <w:szCs w:val="22"/>
          <w:u w:val="none"/>
        </w:rPr>
      </w:pPr>
      <w:r w:rsidDel="00000000" w:rsidR="00000000" w:rsidRPr="00000000">
        <w:rPr>
          <w:rFonts w:ascii="Proxima Nova" w:cs="Proxima Nova" w:eastAsia="Proxima Nova" w:hAnsi="Proxima Nova"/>
          <w:sz w:val="22"/>
          <w:szCs w:val="22"/>
          <w:rtl w:val="0"/>
        </w:rPr>
        <w:t xml:space="preserve">Proportion de services de police appliquant un protocole national établi pour les plaintes liées à la VFF, avec </w:t>
      </w:r>
      <w:r w:rsidDel="00000000" w:rsidR="00000000" w:rsidRPr="00000000">
        <w:rPr>
          <w:rFonts w:ascii="Proxima Nova" w:cs="Proxima Nova" w:eastAsia="Proxima Nova" w:hAnsi="Proxima Nova"/>
          <w:color w:val="993365"/>
          <w:sz w:val="22"/>
          <w:szCs w:val="22"/>
          <w:rtl w:val="0"/>
        </w:rPr>
        <w:t xml:space="preserve">ventilation des données par handicap (ou type de déficience)</w:t>
      </w:r>
      <w:r w:rsidDel="00000000" w:rsidR="00000000" w:rsidRPr="00000000">
        <w:rPr>
          <w:rFonts w:ascii="Proxima Nova" w:cs="Proxima Nova" w:eastAsia="Proxima Nova" w:hAnsi="Proxima Nova"/>
          <w:sz w:val="22"/>
          <w:szCs w:val="22"/>
          <w:rtl w:val="0"/>
        </w:rPr>
        <w:t xml:space="preserve">.</w:t>
      </w:r>
      <w:r w:rsidDel="00000000" w:rsidR="00000000" w:rsidRPr="00000000">
        <w:rPr>
          <w:rtl w:val="0"/>
        </w:rPr>
      </w:r>
    </w:p>
    <w:p w:rsidR="00000000" w:rsidDel="00000000" w:rsidP="00000000" w:rsidRDefault="00000000" w:rsidRPr="00000000" w14:paraId="000000DD">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DE">
      <w:pPr>
        <w:rPr>
          <w:rFonts w:ascii="Proxima Nova" w:cs="Proxima Nova" w:eastAsia="Proxima Nova" w:hAnsi="Proxima Nova"/>
          <w:color w:val="7030a0"/>
          <w:sz w:val="22"/>
          <w:szCs w:val="22"/>
        </w:rPr>
      </w:pPr>
      <w:r w:rsidDel="00000000" w:rsidR="00000000" w:rsidRPr="00000000">
        <w:rPr>
          <w:rFonts w:ascii="Proxima Nova" w:cs="Proxima Nova" w:eastAsia="Proxima Nova" w:hAnsi="Proxima Nova"/>
          <w:b w:val="1"/>
          <w:bCs w:val="1"/>
          <w:sz w:val="22"/>
          <w:szCs w:val="22"/>
          <w:rtl w:val="0"/>
        </w:rPr>
        <w:t xml:space="preserve">Commentaire :</w:t>
      </w:r>
      <w:r w:rsidDel="00000000" w:rsidR="00000000" w:rsidRPr="00000000">
        <w:rPr>
          <w:rFonts w:ascii="Proxima Nova" w:cs="Proxima Nova" w:eastAsia="Proxima Nova" w:hAnsi="Proxima Nova"/>
          <w:sz w:val="22"/>
          <w:szCs w:val="22"/>
          <w:rtl w:val="0"/>
        </w:rPr>
        <w:t xml:space="preserve"> S’il s’agit d’un programme mis en œuvre dans plusieurs pays, il peut être pertinent d’envisager un indicateur lié au degré d’inclusion des personnes en situation de handicap dans les protocoles nationaux. Par exemple : </w:t>
      </w:r>
      <w:r w:rsidDel="00000000" w:rsidR="00000000" w:rsidRPr="00000000">
        <w:rPr>
          <w:rFonts w:ascii="Proxima Nova" w:cs="Proxima Nova" w:eastAsia="Proxima Nova" w:hAnsi="Proxima Nova"/>
          <w:color w:val="993365"/>
          <w:sz w:val="22"/>
          <w:szCs w:val="22"/>
          <w:rtl w:val="0"/>
        </w:rPr>
        <w:t xml:space="preserve">nombre de pays dont les protocoles nationaux sur la VFF tiennent compte du handicap (ou explicitement incluent les femmes et les filles en situation de handicap)</w:t>
      </w:r>
      <w:r w:rsidDel="00000000" w:rsidR="00000000" w:rsidRPr="00000000">
        <w:rPr>
          <w:rFonts w:ascii="Proxima Nova" w:cs="Proxima Nova" w:eastAsia="Proxima Nova" w:hAnsi="Proxima Nova"/>
          <w:color w:val="7030a0"/>
          <w:sz w:val="22"/>
          <w:szCs w:val="22"/>
          <w:rtl w:val="0"/>
        </w:rPr>
        <w:t xml:space="preserve">.</w:t>
      </w:r>
    </w:p>
    <w:p w:rsidR="00000000" w:rsidDel="00000000" w:rsidP="00000000" w:rsidRDefault="00000000" w:rsidRPr="00000000" w14:paraId="000000DF">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E0">
      <w:pPr>
        <w:rPr>
          <w:rFonts w:ascii="Proxima Nova" w:cs="Proxima Nova" w:eastAsia="Proxima Nova" w:hAnsi="Proxima Nova"/>
          <w:b w:val="1"/>
          <w:bCs w:val="1"/>
          <w:color w:val="ffffff"/>
          <w:sz w:val="22"/>
          <w:szCs w:val="22"/>
          <w:shd w:fill="3a4888" w:val="clear"/>
        </w:rPr>
      </w:pPr>
      <w:r w:rsidDel="00000000" w:rsidR="00000000" w:rsidRPr="00000000">
        <w:rPr>
          <w:rFonts w:ascii="Proxima Nova" w:cs="Proxima Nova" w:eastAsia="Proxima Nova" w:hAnsi="Proxima Nova"/>
          <w:b w:val="1"/>
          <w:bCs w:val="1"/>
          <w:color w:val="ffffff"/>
          <w:sz w:val="22"/>
          <w:szCs w:val="22"/>
          <w:shd w:fill="3a4888" w:val="clear"/>
          <w:rtl w:val="0"/>
        </w:rPr>
        <w:t xml:space="preserve">Indicateur original</w:t>
      </w:r>
    </w:p>
    <w:p w:rsidR="00000000" w:rsidDel="00000000" w:rsidP="00000000" w:rsidRDefault="00000000" w:rsidRPr="00000000" w14:paraId="000000E1">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Nombre de refuges et de lignes d’aide téléphonique accessibles aux femmes et aux enfants. </w:t>
      </w:r>
    </w:p>
    <w:p w:rsidR="00000000" w:rsidDel="00000000" w:rsidP="00000000" w:rsidRDefault="00000000" w:rsidRPr="00000000" w14:paraId="000000E2">
      <w:pPr>
        <w:rPr>
          <w:rFonts w:ascii="Proxima Nova" w:cs="Proxima Nova" w:eastAsia="Proxima Nova" w:hAnsi="Proxima Nova"/>
          <w:b w:val="1"/>
          <w:bCs w:val="1"/>
          <w:sz w:val="22"/>
          <w:szCs w:val="22"/>
        </w:rPr>
      </w:pPr>
      <w:r w:rsidDel="00000000" w:rsidR="00000000" w:rsidRPr="00000000">
        <w:rPr>
          <w:rtl w:val="0"/>
        </w:rPr>
      </w:r>
    </w:p>
    <w:p w:rsidR="00000000" w:rsidDel="00000000" w:rsidP="00000000" w:rsidRDefault="00000000" w:rsidRPr="00000000" w14:paraId="000000E3">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Indicateur qui tient compte des personnes en situation de handicap</w:t>
      </w:r>
      <w:r w:rsidDel="00000000" w:rsidR="00000000" w:rsidRPr="00000000">
        <w:rPr>
          <w:rFonts w:ascii="Proxima Nova" w:cs="Proxima Nova" w:eastAsia="Proxima Nova" w:hAnsi="Proxima Nova"/>
          <w:sz w:val="22"/>
          <w:szCs w:val="22"/>
          <w:rtl w:val="0"/>
        </w:rPr>
        <w:t xml:space="preserve"> </w:t>
      </w:r>
    </w:p>
    <w:p w:rsidR="00000000" w:rsidDel="00000000" w:rsidP="00000000" w:rsidRDefault="00000000" w:rsidRPr="00000000" w14:paraId="000000E4">
      <w:pPr>
        <w:numPr>
          <w:ilvl w:val="0"/>
          <w:numId w:val="24"/>
        </w:numPr>
        <w:ind w:left="450" w:hanging="360"/>
        <w:rPr>
          <w:rFonts w:ascii="Proxima Nova" w:cs="Proxima Nova" w:eastAsia="Proxima Nova" w:hAnsi="Proxima Nova"/>
          <w:sz w:val="22"/>
          <w:szCs w:val="22"/>
          <w:u w:val="none"/>
        </w:rPr>
      </w:pPr>
      <w:r w:rsidDel="00000000" w:rsidR="00000000" w:rsidRPr="00000000">
        <w:rPr>
          <w:rFonts w:ascii="Proxima Nova" w:cs="Proxima Nova" w:eastAsia="Proxima Nova" w:hAnsi="Proxima Nova"/>
          <w:sz w:val="22"/>
          <w:szCs w:val="22"/>
          <w:rtl w:val="0"/>
        </w:rPr>
        <w:t xml:space="preserve">Nombre de refuges et de lignes d’aide téléphonique </w:t>
      </w:r>
      <w:r w:rsidDel="00000000" w:rsidR="00000000" w:rsidRPr="00000000">
        <w:rPr>
          <w:rFonts w:ascii="Proxima Nova" w:cs="Proxima Nova" w:eastAsia="Proxima Nova" w:hAnsi="Proxima Nova"/>
          <w:color w:val="993365"/>
          <w:sz w:val="22"/>
          <w:szCs w:val="22"/>
          <w:rtl w:val="0"/>
        </w:rPr>
        <w:t xml:space="preserve">accessibles</w:t>
      </w:r>
      <w:r w:rsidDel="00000000" w:rsidR="00000000" w:rsidRPr="00000000">
        <w:rPr>
          <w:rFonts w:ascii="Proxima Nova" w:cs="Proxima Nova" w:eastAsia="Proxima Nova" w:hAnsi="Proxima Nova"/>
          <w:sz w:val="22"/>
          <w:szCs w:val="22"/>
          <w:rtl w:val="0"/>
        </w:rPr>
        <w:t xml:space="preserve"> aux femmes et </w:t>
      </w:r>
      <w:r w:rsidDel="00000000" w:rsidR="00000000" w:rsidRPr="00000000">
        <w:rPr>
          <w:rFonts w:ascii="Proxima Nova" w:cs="Proxima Nova" w:eastAsia="Proxima Nova" w:hAnsi="Proxima Nova"/>
          <w:color w:val="993365"/>
          <w:sz w:val="22"/>
          <w:szCs w:val="22"/>
          <w:rtl w:val="0"/>
        </w:rPr>
        <w:t xml:space="preserve">aux enfants, qu’ils soient ou non en situation de handicap</w:t>
      </w:r>
      <w:r w:rsidDel="00000000" w:rsidR="00000000" w:rsidRPr="00000000">
        <w:rPr>
          <w:rFonts w:ascii="Proxima Nova" w:cs="Proxima Nova" w:eastAsia="Proxima Nova" w:hAnsi="Proxima Nova"/>
          <w:color w:val="7030a0"/>
          <w:sz w:val="22"/>
          <w:szCs w:val="22"/>
          <w:rtl w:val="0"/>
        </w:rPr>
        <w:t xml:space="preserve">. </w:t>
      </w:r>
    </w:p>
    <w:p w:rsidR="00000000" w:rsidDel="00000000" w:rsidP="00000000" w:rsidRDefault="00000000" w:rsidRPr="00000000" w14:paraId="000000E5">
      <w:pPr>
        <w:spacing w:after="80" w:lineRule="auto"/>
        <w:rPr>
          <w:rFonts w:ascii="Proxima Nova" w:cs="Proxima Nova" w:eastAsia="Proxima Nova" w:hAnsi="Proxima Nova"/>
          <w:b w:val="1"/>
          <w:bCs w:val="1"/>
          <w:color w:val="3a4888"/>
          <w:sz w:val="22"/>
          <w:szCs w:val="22"/>
        </w:rPr>
      </w:pPr>
      <w:r w:rsidDel="00000000" w:rsidR="00000000" w:rsidRPr="00000000">
        <w:rPr>
          <w:rFonts w:ascii="Proxima Nova" w:cs="Proxima Nova" w:eastAsia="Proxima Nova" w:hAnsi="Proxima Nova"/>
          <w:b w:val="1"/>
          <w:bCs w:val="1"/>
          <w:i w:val="1"/>
          <w:iCs w:val="1"/>
          <w:color w:val="3a4888"/>
          <w:sz w:val="22"/>
          <w:szCs w:val="22"/>
          <w:rtl w:val="0"/>
        </w:rPr>
        <w:t xml:space="preserve">Ou</w:t>
      </w:r>
      <w:r w:rsidDel="00000000" w:rsidR="00000000" w:rsidRPr="00000000">
        <w:rPr>
          <w:rFonts w:ascii="Proxima Nova" w:cs="Proxima Nova" w:eastAsia="Proxima Nova" w:hAnsi="Proxima Nova"/>
          <w:b w:val="1"/>
          <w:bCs w:val="1"/>
          <w:color w:val="3a4888"/>
          <w:sz w:val="22"/>
          <w:szCs w:val="22"/>
          <w:rtl w:val="0"/>
        </w:rPr>
        <w:t xml:space="preserve"> : </w:t>
      </w:r>
    </w:p>
    <w:p w:rsidR="00000000" w:rsidDel="00000000" w:rsidP="00000000" w:rsidRDefault="00000000" w:rsidRPr="00000000" w14:paraId="000000E6">
      <w:pPr>
        <w:numPr>
          <w:ilvl w:val="0"/>
          <w:numId w:val="21"/>
        </w:numPr>
        <w:ind w:left="450" w:hanging="360"/>
        <w:rPr>
          <w:rFonts w:ascii="Proxima Nova" w:cs="Proxima Nova" w:eastAsia="Proxima Nova" w:hAnsi="Proxima Nova"/>
          <w:sz w:val="22"/>
          <w:szCs w:val="22"/>
          <w:u w:val="none"/>
        </w:rPr>
      </w:pPr>
      <w:r w:rsidDel="00000000" w:rsidR="00000000" w:rsidRPr="00000000">
        <w:rPr>
          <w:rFonts w:ascii="Proxima Nova" w:cs="Proxima Nova" w:eastAsia="Proxima Nova" w:hAnsi="Proxima Nova"/>
          <w:sz w:val="22"/>
          <w:szCs w:val="22"/>
          <w:rtl w:val="0"/>
        </w:rPr>
        <w:t xml:space="preserve">Nombre de refuges et de lignes d’aide téléphonique accessibles aux femmes et aux enfants, </w:t>
      </w:r>
      <w:r w:rsidDel="00000000" w:rsidR="00000000" w:rsidRPr="00000000">
        <w:rPr>
          <w:rFonts w:ascii="Proxima Nova" w:cs="Proxima Nova" w:eastAsia="Proxima Nova" w:hAnsi="Proxima Nova"/>
          <w:color w:val="993365"/>
          <w:sz w:val="22"/>
          <w:szCs w:val="22"/>
          <w:rtl w:val="0"/>
        </w:rPr>
        <w:t xml:space="preserve">ventilés selon le type d’accessibilité offert en fonction des différentes déficiences</w:t>
      </w:r>
      <w:r w:rsidDel="00000000" w:rsidR="00000000" w:rsidRPr="00000000">
        <w:rPr>
          <w:rFonts w:ascii="Proxima Nova" w:cs="Proxima Nova" w:eastAsia="Proxima Nova" w:hAnsi="Proxima Nova"/>
          <w:color w:val="7030a0"/>
          <w:sz w:val="22"/>
          <w:szCs w:val="22"/>
          <w:rtl w:val="0"/>
        </w:rPr>
        <w:t xml:space="preserve">.</w:t>
      </w:r>
    </w:p>
    <w:p w:rsidR="00000000" w:rsidDel="00000000" w:rsidP="00000000" w:rsidRDefault="00000000" w:rsidRPr="00000000" w14:paraId="000000E7">
      <w:pPr>
        <w:pStyle w:val="Heading2"/>
        <w:rPr/>
      </w:pPr>
      <w:bookmarkStart w:colFirst="0" w:colLast="0" w:name="_heading=h.on2kjl8wwceq" w:id="10"/>
      <w:bookmarkEnd w:id="10"/>
      <w:r w:rsidDel="00000000" w:rsidR="00000000" w:rsidRPr="00000000">
        <w:rPr>
          <w:rtl w:val="0"/>
        </w:rPr>
        <w:t xml:space="preserve">Partenariats</w:t>
      </w:r>
      <w:r w:rsidDel="00000000" w:rsidR="00000000" w:rsidRPr="00000000">
        <w:rPr>
          <w:vertAlign w:val="superscript"/>
        </w:rPr>
        <w:footnoteReference w:customMarkFollows="0" w:id="3"/>
      </w:r>
      <w:r w:rsidDel="00000000" w:rsidR="00000000" w:rsidRPr="00000000">
        <w:rPr>
          <w:rtl w:val="0"/>
        </w:rPr>
      </w:r>
    </w:p>
    <w:p w:rsidR="00000000" w:rsidDel="00000000" w:rsidP="00000000" w:rsidRDefault="00000000" w:rsidRPr="00000000" w14:paraId="000000E8">
      <w:pPr>
        <w:pStyle w:val="Heading3"/>
        <w:rPr>
          <w:rFonts w:ascii="Proxima Nova" w:cs="Proxima Nova" w:eastAsia="Proxima Nova" w:hAnsi="Proxima Nova"/>
          <w:b w:val="1"/>
          <w:bCs w:val="1"/>
          <w:color w:val="993365"/>
        </w:rPr>
      </w:pPr>
      <w:bookmarkStart w:colFirst="0" w:colLast="0" w:name="_heading=h.tpomnolz9dp3" w:id="11"/>
      <w:bookmarkEnd w:id="11"/>
      <w:r w:rsidDel="00000000" w:rsidR="00000000" w:rsidRPr="00000000">
        <w:rPr>
          <w:rtl w:val="0"/>
        </w:rPr>
        <w:t xml:space="preserve">Guide sur les organisations de personnes en situation de handicap</w:t>
      </w:r>
      <w:r w:rsidDel="00000000" w:rsidR="00000000" w:rsidRPr="00000000">
        <w:rPr>
          <w:rtl w:val="0"/>
        </w:rPr>
      </w:r>
    </w:p>
    <w:p w:rsidR="00000000" w:rsidDel="00000000" w:rsidP="00000000" w:rsidRDefault="00000000" w:rsidRPr="00000000" w14:paraId="000000E9">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Les personnes en situation de handicap ont été largement exclues des processus décisionnels. Leurs familles, leurs communautés, et même les organisations de développement, ont souvent pris des décisions à leur place, y compris lorsqu’elles touchaient directement leur vie. Cela peut concerner, par exemple, la décision d’aller en physiothérapie, de subir une intervention chirurgicale ou de fréquenter une école dite « spécialisée ».</w:t>
      </w:r>
    </w:p>
    <w:p w:rsidR="00000000" w:rsidDel="00000000" w:rsidP="00000000" w:rsidRDefault="00000000" w:rsidRPr="00000000" w14:paraId="000000EA">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EB">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Par conséquent, les personnes en situation de handicap participent rarement à la planification des initiatives de développement. Peu d’entre elles accèdent à des postes de leadership. Devant la situation, un mouvement de défense des droits des personnes en situation de handicap a vu le jour à l’échelle mondiale. Son objectif est de faire entendre leurs voix et de revendiquer une plus grande inclusion. Il prend différentes formes d’un pays à l’autre, mais souvent, on trouve des organisations nationales représentant les principaux types de déficiences, avec des comités ou des antennes locales dans les villes et les villages. Lorsque ce mouvement est bien établi, il peut exister une fédération ou une union nationale qui représente l’ensemble des personnes en situation de handicap dans les processus décisionnels à l’échelle du pays.</w:t>
      </w:r>
    </w:p>
    <w:p w:rsidR="00000000" w:rsidDel="00000000" w:rsidP="00000000" w:rsidRDefault="00000000" w:rsidRPr="00000000" w14:paraId="000000EC">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ED">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Chaque organisation a un rôle à jouer pour que les personnes en situation de handicap puissent réellement bénéficier des efforts de développement. Toutes peuvent contribuer à répondre aux besoins locaux. Cependant, les consultations sur l’inclusion devraient se faire directement auprès des personnes en situation de handicap, par l’entremise des organisations qui les représentent, comme les groupes d’entraide, les OPH ou des organismes nationaux et internationaux.</w:t>
      </w:r>
    </w:p>
    <w:p w:rsidR="00000000" w:rsidDel="00000000" w:rsidP="00000000" w:rsidRDefault="00000000" w:rsidRPr="00000000" w14:paraId="000000EE">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EF">
      <w:pPr>
        <w:spacing w:after="80" w:lineRule="auto"/>
        <w:rPr>
          <w:rFonts w:ascii="Proxima Nova" w:cs="Proxima Nova" w:eastAsia="Proxima Nova" w:hAnsi="Proxima Nova"/>
          <w:i w:val="1"/>
          <w:iCs w:val="1"/>
          <w:sz w:val="22"/>
          <w:szCs w:val="22"/>
        </w:rPr>
      </w:pPr>
      <w:r w:rsidDel="00000000" w:rsidR="00000000" w:rsidRPr="00000000">
        <w:rPr>
          <w:rFonts w:ascii="Proxima Nova" w:cs="Proxima Nova" w:eastAsia="Proxima Nova" w:hAnsi="Proxima Nova"/>
          <w:b w:val="1"/>
          <w:bCs w:val="1"/>
          <w:sz w:val="22"/>
          <w:szCs w:val="22"/>
          <w:rtl w:val="0"/>
        </w:rPr>
        <w:t xml:space="preserve">Organisations de personnes en situation de handicap (OPH)</w:t>
      </w: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Des organisations formées par des personnes en situation de handicap.</w:t>
      </w:r>
    </w:p>
    <w:p w:rsidR="00000000" w:rsidDel="00000000" w:rsidP="00000000" w:rsidRDefault="00000000" w:rsidRPr="00000000" w14:paraId="000000F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Sont dirigées et gérées par des personnes en situation de handicap.</w:t>
      </w:r>
    </w:p>
    <w:p w:rsidR="00000000" w:rsidDel="00000000" w:rsidP="00000000" w:rsidRDefault="00000000" w:rsidRPr="00000000" w14:paraId="000000F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Peuvent représenter des personnes ayant un type de déficience en particulier.</w:t>
      </w:r>
    </w:p>
    <w:p w:rsidR="00000000" w:rsidDel="00000000" w:rsidP="00000000" w:rsidRDefault="00000000" w:rsidRPr="00000000" w14:paraId="000000F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Là où le mouvement de défense des droits des personnes en situation de handicap n’est pas très fort, il se peut que seuls deux ou trois types de déficiences soient représentés.</w:t>
      </w:r>
    </w:p>
    <w:p w:rsidR="00000000" w:rsidDel="00000000" w:rsidP="00000000" w:rsidRDefault="00000000" w:rsidRPr="00000000" w14:paraId="000000F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Certaines OPH nationales sont connues pour leurs activités de plaidoyer, comme l’Union nationale des personnes en situation de handicap en Ouganda (NUDIPU) et la Fédération des organisations de personnes en situation de handicap au Malawi (FEDOMA).</w:t>
      </w:r>
    </w:p>
    <w:p w:rsidR="00000000" w:rsidDel="00000000" w:rsidP="00000000" w:rsidRDefault="00000000" w:rsidRPr="00000000" w14:paraId="000000F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Certaines d’entre elles sont représentées à l’échelle régionale et internationale, comme la Fédération sud-africaine des personnes en situation de handicap (SAFOD) et l’Alliance internationale des personnes en situation de handicap (IDA).</w:t>
      </w:r>
    </w:p>
    <w:p w:rsidR="00000000" w:rsidDel="00000000" w:rsidP="00000000" w:rsidRDefault="00000000" w:rsidRPr="00000000" w14:paraId="000000F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Bon nombre de ces organisations sont de petite taille, disposent de capacités limitées et se concentrent principalement sur les besoins immédiats de leurs membres. Cela s’explique en partie par les taux de pauvreté élevés et par le fait qu’elles sont souvent situées dans des pays où le soutien aux personnes en situation de handicap est historiquement faible.</w:t>
      </w:r>
    </w:p>
    <w:p w:rsidR="00000000" w:rsidDel="00000000" w:rsidP="00000000" w:rsidRDefault="00000000" w:rsidRPr="00000000" w14:paraId="000000F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L’aspect le plus important des OPH est leur capacité à comprendre les besoins de leur milieu et à mobiliser les personnes en situation de handicap.</w:t>
      </w:r>
    </w:p>
    <w:p w:rsidR="00000000" w:rsidDel="00000000" w:rsidP="00000000" w:rsidRDefault="00000000" w:rsidRPr="00000000" w14:paraId="000000F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Avec un soutien adéquat, les OPH sont des partenaires efficaces dans les programmes de développement communautaire, y compris dans des initiatives générales.</w:t>
      </w:r>
      <w:r w:rsidDel="00000000" w:rsidR="00000000" w:rsidRPr="00000000">
        <w:rPr>
          <w:rtl w:val="0"/>
        </w:rPr>
      </w:r>
    </w:p>
    <w:p w:rsidR="00000000" w:rsidDel="00000000" w:rsidP="00000000" w:rsidRDefault="00000000" w:rsidRPr="00000000" w14:paraId="000000F9">
      <w:pPr>
        <w:rPr>
          <w:rFonts w:ascii="Proxima Nova" w:cs="Proxima Nova" w:eastAsia="Proxima Nova" w:hAnsi="Proxima Nova"/>
          <w:b w:val="1"/>
          <w:bCs w:val="1"/>
          <w:sz w:val="22"/>
          <w:szCs w:val="22"/>
        </w:rPr>
      </w:pPr>
      <w:r w:rsidDel="00000000" w:rsidR="00000000" w:rsidRPr="00000000">
        <w:rPr>
          <w:rtl w:val="0"/>
        </w:rPr>
      </w:r>
    </w:p>
    <w:p w:rsidR="00000000" w:rsidDel="00000000" w:rsidP="00000000" w:rsidRDefault="00000000" w:rsidRPr="00000000" w14:paraId="000000FA">
      <w:pPr>
        <w:spacing w:after="80" w:lineRule="auto"/>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Groupes d’entraide</w:t>
      </w:r>
    </w:p>
    <w:p w:rsidR="00000000" w:rsidDel="00000000" w:rsidP="00000000" w:rsidRDefault="00000000" w:rsidRPr="00000000" w14:paraId="000000F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Des groupes formés par des personnes en situation de handicap et/ou des proches aidant·es qui ne sont pas encore enregistrés en tant qu’OPH.</w:t>
      </w:r>
    </w:p>
    <w:p w:rsidR="00000000" w:rsidDel="00000000" w:rsidP="00000000" w:rsidRDefault="00000000" w:rsidRPr="00000000" w14:paraId="000000F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Tendent à être plus fréquents dans les contextes ruraux ou semi-urbains, où les OPH ne sont pas encore présentes, ou parmi les groupes qui n’ont pas les ressources nécessaires pour procéder à un enregistrement officiel.</w:t>
      </w:r>
    </w:p>
    <w:p w:rsidR="00000000" w:rsidDel="00000000" w:rsidP="00000000" w:rsidRDefault="00000000" w:rsidRPr="00000000" w14:paraId="000000F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Jouent un rôle important à l’échelle locale en regroupant les enfants et les adultes en situation de handicap, ainsi que leurs proches aidant·es.</w:t>
      </w:r>
    </w:p>
    <w:p w:rsidR="00000000" w:rsidDel="00000000" w:rsidP="00000000" w:rsidRDefault="00000000" w:rsidRPr="00000000" w14:paraId="000000F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Offrent souvent un soutien social et peuvent être mobilisés pour fournir de l’aide en situation d’urgence.</w:t>
      </w:r>
    </w:p>
    <w:p w:rsidR="00000000" w:rsidDel="00000000" w:rsidP="00000000" w:rsidRDefault="00000000" w:rsidRPr="00000000" w14:paraId="000000F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Constituent un lien important entre les personnes en situation de handicap et les programmes de développement communautaire ou de résilience aux catastrophes, et devraient être inclus dans les activités de cartographie.</w:t>
      </w:r>
      <w:r w:rsidDel="00000000" w:rsidR="00000000" w:rsidRPr="00000000">
        <w:rPr>
          <w:rtl w:val="0"/>
        </w:rPr>
      </w:r>
    </w:p>
    <w:p w:rsidR="00000000" w:rsidDel="00000000" w:rsidP="00000000" w:rsidRDefault="00000000" w:rsidRPr="00000000" w14:paraId="00000100">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01">
      <w:pPr>
        <w:spacing w:after="80" w:lineRule="auto"/>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ONG de défense des droits des personnes en situation de handicap</w:t>
      </w:r>
    </w:p>
    <w:p w:rsidR="00000000" w:rsidDel="00000000" w:rsidP="00000000" w:rsidRDefault="00000000" w:rsidRPr="00000000" w14:paraId="0000010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Des organisations pour les personnes en situation de handicap.</w:t>
      </w:r>
    </w:p>
    <w:p w:rsidR="00000000" w:rsidDel="00000000" w:rsidP="00000000" w:rsidRDefault="00000000" w:rsidRPr="00000000" w14:paraId="0000010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Parmi les grandes ONG internationales, on retrouve SightSavers, CBM, Humanité &amp; Inclusion (anciennement Handicap International), Deaf Child Worldwide, Sense International, Leonard Cheshire Disability, Sue Ryder Care, AbleChild Africa et ADD International.</w:t>
      </w:r>
    </w:p>
    <w:p w:rsidR="00000000" w:rsidDel="00000000" w:rsidP="00000000" w:rsidRDefault="00000000" w:rsidRPr="00000000" w14:paraId="0000010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Certaines d’entre elles se spécialisent sur un type de déficience, d’autres se consacrent davantage au renforcement des capacités des personnes en situation de handicap et des organisations qui les représentent.</w:t>
      </w:r>
    </w:p>
    <w:p w:rsidR="00000000" w:rsidDel="00000000" w:rsidP="00000000" w:rsidRDefault="00000000" w:rsidRPr="00000000" w14:paraId="0000010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Plusieurs ONG nationales ciblent précisément les personnes en situation de handicap, par exemple, la Fondation ougandaise pour les personnes aveugles et l’Association des personnes atteintes de la lèpre en Angola.</w:t>
      </w:r>
    </w:p>
    <w:p w:rsidR="00000000" w:rsidDel="00000000" w:rsidP="00000000" w:rsidRDefault="00000000" w:rsidRPr="00000000" w14:paraId="0000010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Comprennent des OBNL confessionnelles qui apportent leur soutien à des écoles et des classes spécialisées, à des centres de formation professionnelle ou à la production d’orthèses et de prothèses.</w:t>
      </w:r>
    </w:p>
    <w:p w:rsidR="00000000" w:rsidDel="00000000" w:rsidP="00000000" w:rsidRDefault="00000000" w:rsidRPr="00000000" w14:paraId="0000010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Dans de nombreux cas, la priorité est de répondre aux besoins médicaux et de réadaptation des personnes en situation de handicap.</w:t>
      </w:r>
    </w:p>
    <w:p w:rsidR="00000000" w:rsidDel="00000000" w:rsidP="00000000" w:rsidRDefault="00000000" w:rsidRPr="00000000" w14:paraId="0000010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sz w:val="22"/>
          <w:szCs w:val="22"/>
          <w:rtl w:val="0"/>
        </w:rPr>
        <w:t xml:space="preserve">Plusieurs d’entre elles s’orientent vers une approche fondée sur les droits. Le travail politique et les campagnes de sensibilisation menés par les grandes ONG sont souvent plus avancés dans ce parcours que leurs activités programmatiques. Cela s’explique notamment par l’histoire propre à chaque organisation et par la composition de leur base de soutien.</w:t>
      </w:r>
      <w:r w:rsidDel="00000000" w:rsidR="00000000" w:rsidRPr="00000000">
        <w:rPr>
          <w:rtl w:val="0"/>
        </w:rPr>
      </w:r>
    </w:p>
    <w:p w:rsidR="00000000" w:rsidDel="00000000" w:rsidP="00000000" w:rsidRDefault="00000000" w:rsidRPr="00000000" w14:paraId="00000109">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0A">
      <w:pPr>
        <w:pStyle w:val="Heading3"/>
        <w:rPr>
          <w:rFonts w:ascii="Proxima Nova" w:cs="Proxima Nova" w:eastAsia="Proxima Nova" w:hAnsi="Proxima Nova"/>
        </w:rPr>
      </w:pPr>
      <w:bookmarkStart w:colFirst="0" w:colLast="0" w:name="_heading=h.l1isswbsyqfp" w:id="12"/>
      <w:bookmarkEnd w:id="12"/>
      <w:r w:rsidDel="00000000" w:rsidR="00000000" w:rsidRPr="00000000">
        <w:rPr>
          <w:rtl w:val="0"/>
        </w:rPr>
        <w:t xml:space="preserve">Partenariats : principes directeurs</w:t>
      </w:r>
      <w:r w:rsidDel="00000000" w:rsidR="00000000" w:rsidRPr="00000000">
        <w:rPr>
          <w:rtl w:val="0"/>
        </w:rPr>
      </w:r>
    </w:p>
    <w:p w:rsidR="00000000" w:rsidDel="00000000" w:rsidP="00000000" w:rsidRDefault="00000000" w:rsidRPr="00000000" w14:paraId="0000010B">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Même si les capacités organisationnelles et le nombre d’OPH établies varient d’un pays à l’autre et au sein d’un même pays, il est important de chercher à établir des liens avec elles, qu’il s’agisse d’organisations enregistrées ou de groupes d’entraide. Il est essentiel de faire la distinction entre les organisations </w:t>
      </w:r>
      <w:r w:rsidDel="00000000" w:rsidR="00000000" w:rsidRPr="00000000">
        <w:rPr>
          <w:rFonts w:ascii="Proxima Nova" w:cs="Proxima Nova" w:eastAsia="Proxima Nova" w:hAnsi="Proxima Nova"/>
          <w:b w:val="1"/>
          <w:bCs w:val="1"/>
          <w:sz w:val="22"/>
          <w:szCs w:val="22"/>
          <w:rtl w:val="0"/>
        </w:rPr>
        <w:t xml:space="preserve">travaillant pour </w:t>
      </w:r>
      <w:r w:rsidDel="00000000" w:rsidR="00000000" w:rsidRPr="00000000">
        <w:rPr>
          <w:rFonts w:ascii="Proxima Nova" w:cs="Proxima Nova" w:eastAsia="Proxima Nova" w:hAnsi="Proxima Nova"/>
          <w:sz w:val="22"/>
          <w:szCs w:val="22"/>
          <w:rtl w:val="0"/>
        </w:rPr>
        <w:t xml:space="preserve">les personnes en situation de handicap et celles </w:t>
      </w:r>
      <w:r w:rsidDel="00000000" w:rsidR="00000000" w:rsidRPr="00000000">
        <w:rPr>
          <w:rFonts w:ascii="Proxima Nova" w:cs="Proxima Nova" w:eastAsia="Proxima Nova" w:hAnsi="Proxima Nova"/>
          <w:b w:val="1"/>
          <w:bCs w:val="1"/>
          <w:sz w:val="22"/>
          <w:szCs w:val="22"/>
          <w:rtl w:val="0"/>
        </w:rPr>
        <w:t xml:space="preserve">composées de </w:t>
      </w:r>
      <w:r w:rsidDel="00000000" w:rsidR="00000000" w:rsidRPr="00000000">
        <w:rPr>
          <w:rFonts w:ascii="Proxima Nova" w:cs="Proxima Nova" w:eastAsia="Proxima Nova" w:hAnsi="Proxima Nova"/>
          <w:sz w:val="22"/>
          <w:szCs w:val="22"/>
          <w:rtl w:val="0"/>
        </w:rPr>
        <w:t xml:space="preserve">personnes en situation de handicap. Dans la mesure du possible, il convient de soutenir ces dernières afin de développer des partenariats mutuellement bénéfiques.</w:t>
      </w:r>
    </w:p>
    <w:p w:rsidR="00000000" w:rsidDel="00000000" w:rsidP="00000000" w:rsidRDefault="00000000" w:rsidRPr="00000000" w14:paraId="0000010C">
      <w:pPr>
        <w:ind w:left="426"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0D">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Par exemple, si vous adoptiez une approche à deux volets pour établir des partenariats avec les OPH, vous pourriez :</w:t>
      </w:r>
    </w:p>
    <w:p w:rsidR="00000000" w:rsidDel="00000000" w:rsidP="00000000" w:rsidRDefault="00000000" w:rsidRPr="00000000" w14:paraId="0000010E">
      <w:pPr>
        <w:numPr>
          <w:ilvl w:val="0"/>
          <w:numId w:val="25"/>
        </w:numPr>
        <w:spacing w:line="252.00000000000003" w:lineRule="auto"/>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collaborer avec un réseau ou un centre de coordination d’organisations, en le formant au renforcement des capacités afin qu’il puisse ensuite transmettre ces connaissances à ses organisations membres actives sur le terrain;</w:t>
      </w:r>
    </w:p>
    <w:p w:rsidR="00000000" w:rsidDel="00000000" w:rsidP="00000000" w:rsidRDefault="00000000" w:rsidRPr="00000000" w14:paraId="0000010F">
      <w:pPr>
        <w:numPr>
          <w:ilvl w:val="0"/>
          <w:numId w:val="25"/>
        </w:numPr>
        <w:spacing w:line="252.00000000000003" w:lineRule="auto"/>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travailler directement avec des organisations locales, qui ont souvent une connaissance concrète des besoins, des obstacles et des leviers de participation de leurs membres. Travailler avec ces organisations, c’est aussi reconnaître les ressources qu’elles consacrent à cette collaboration. Elles peuvent avoir besoin d’un soutien financier ou d’un appui pour renforcer leurs capacités en mobilisation de ressources, afin de pouvoir contribuer pleinement aux activités du projet.</w:t>
      </w:r>
    </w:p>
    <w:p w:rsidR="00000000" w:rsidDel="00000000" w:rsidP="00000000" w:rsidRDefault="00000000" w:rsidRPr="00000000" w14:paraId="00000110">
      <w:pPr>
        <w:rPr>
          <w:rFonts w:ascii="Proxima Nova" w:cs="Proxima Nova" w:eastAsia="Proxima Nova" w:hAnsi="Proxima Nova"/>
          <w:b w:val="1"/>
          <w:bCs w:val="1"/>
          <w:sz w:val="22"/>
          <w:szCs w:val="22"/>
        </w:rPr>
      </w:pPr>
      <w:r w:rsidDel="00000000" w:rsidR="00000000" w:rsidRPr="00000000">
        <w:rPr>
          <w:rtl w:val="0"/>
        </w:rPr>
      </w:r>
    </w:p>
    <w:p w:rsidR="00000000" w:rsidDel="00000000" w:rsidP="00000000" w:rsidRDefault="00000000" w:rsidRPr="00000000" w14:paraId="00000111">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Se préparer à établir un partenariat </w:t>
      </w:r>
      <w:r w:rsidDel="00000000" w:rsidR="00000000" w:rsidRPr="00000000">
        <w:rPr>
          <w:rFonts w:ascii="Proxima Nova" w:cs="Proxima Nova" w:eastAsia="Proxima Nova" w:hAnsi="Proxima Nova"/>
          <w:sz w:val="22"/>
          <w:szCs w:val="22"/>
          <w:rtl w:val="0"/>
        </w:rPr>
        <w:t xml:space="preserve">demande du temps, mais c’est essentiel pour établir et entretenir une relation de confiance et de collaboration efficace avec les partenaires. Dans le contexte humanitaire en particulier, préparer les partenaires avant qu’une urgence ne survienne peut faire toute la différence. Par exemple, pour que les OPH puissent réellement faire entendre leur voix dans le système des groupes sectoriels humanitaires, elles doivent comprendre son fonctionnement, ainsi que les cycles de financement du développement qui, bien souvent, fonctionnent selon des échéanciers plus courts. Les OPH doivent aussi savoir à quoi s’attendre en situation d’urgence, afin de pouvoir réagir rapidement. Cela suppose des échanges préalables et une négociation claire avec les organisations concernées.</w:t>
      </w:r>
    </w:p>
    <w:p w:rsidR="00000000" w:rsidDel="00000000" w:rsidP="00000000" w:rsidRDefault="00000000" w:rsidRPr="00000000" w14:paraId="00000112">
      <w:pPr>
        <w:ind w:left="426"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13">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Investir du temps pour mieux connaître les partenaires potentiels</w:t>
      </w:r>
      <w:r w:rsidDel="00000000" w:rsidR="00000000" w:rsidRPr="00000000">
        <w:rPr>
          <w:rFonts w:ascii="Proxima Nova" w:cs="Proxima Nova" w:eastAsia="Proxima Nova" w:hAnsi="Proxima Nova"/>
          <w:sz w:val="22"/>
          <w:szCs w:val="22"/>
          <w:rtl w:val="0"/>
        </w:rPr>
        <w:t xml:space="preserve"> est une étape essentielle. Cela peut passer par une cartographie de l’espace civique et une analyse intersectionnelle des besoins précis des organisations en ce qui a trait à l’accès à l’information, à la langue et à la communication, ainsi qu’aux obstacles liés au genre, au handicap, à l’âge ou à d’autres identités qui peuvent influencer votre dynamique relationnelle avec ces organisations. Il peut aussi être nécessaire de discuter avec les personnes que ces organisations soutiennent, afin d’évaluer leur crédibilité, par exemple, lorsque les pratiques de l’organisation sont influencées par les normes et les pratiques sociales de la communauté locale. Cet aspect est particulièrement important lorsqu’on aborde des enjeux comme l’égalité des genres, la violence fondée sur le genre ou la maltraitance institutionnelle.</w:t>
      </w:r>
    </w:p>
    <w:p w:rsidR="00000000" w:rsidDel="00000000" w:rsidP="00000000" w:rsidRDefault="00000000" w:rsidRPr="00000000" w14:paraId="00000114">
      <w:pPr>
        <w:ind w:left="426"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15">
      <w:pPr>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Établir une relation de confiance avec les organisations ou les groupes partenaires</w:t>
      </w:r>
      <w:r w:rsidDel="00000000" w:rsidR="00000000" w:rsidRPr="00000000">
        <w:rPr>
          <w:rFonts w:ascii="Proxima Nova" w:cs="Proxima Nova" w:eastAsia="Proxima Nova" w:hAnsi="Proxima Nova"/>
          <w:sz w:val="22"/>
          <w:szCs w:val="22"/>
          <w:rtl w:val="0"/>
        </w:rPr>
        <w:t xml:space="preserve"> peut passer par un processus d’évaluation mutuelle des capacités, qui tient compte à la fois de ce que chaque partenaire peut apporter, et des ajustements possibles pour que votre organisation puisse réellement les appuyer. Plutôt que de rejeter un partenaire potentiel selon une approche « oui/non » fondée sur le risque, un processus de diligence raisonnable devrait permettre d’identifier ce dont le partenaire a besoin pour mettre en œuvre le projet, les défis potentiels (y compris les risques liés à la relation de partenariat, et non seulement au projet lui-même), ainsi que les mesures à prendre pour les atténuer.</w:t>
      </w:r>
    </w:p>
    <w:p w:rsidR="00000000" w:rsidDel="00000000" w:rsidP="00000000" w:rsidRDefault="00000000" w:rsidRPr="00000000" w14:paraId="00000116">
      <w:pPr>
        <w:ind w:left="426"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17">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Si l’on vise un soutien à long terme qui répond aux besoins de l’organisation partenaire, il peut être judicieux d’</w:t>
      </w:r>
      <w:r w:rsidDel="00000000" w:rsidR="00000000" w:rsidRPr="00000000">
        <w:rPr>
          <w:rFonts w:ascii="Proxima Nova" w:cs="Proxima Nova" w:eastAsia="Proxima Nova" w:hAnsi="Proxima Nova"/>
          <w:b w:val="1"/>
          <w:bCs w:val="1"/>
          <w:sz w:val="22"/>
          <w:szCs w:val="22"/>
          <w:rtl w:val="0"/>
        </w:rPr>
        <w:t xml:space="preserve">adopter une approche progressive</w:t>
      </w:r>
      <w:r w:rsidDel="00000000" w:rsidR="00000000" w:rsidRPr="00000000">
        <w:rPr>
          <w:rFonts w:ascii="Proxima Nova" w:cs="Proxima Nova" w:eastAsia="Proxima Nova" w:hAnsi="Proxima Nova"/>
          <w:sz w:val="22"/>
          <w:szCs w:val="22"/>
          <w:rtl w:val="0"/>
        </w:rPr>
        <w:t xml:space="preserve">. Il est souvent préférable de commencer par de petits projets, pour apprendre à collaborer, établir un dialogue, et tenir compte de l’accessibilité, que ce soit en matière de communication, de langue ou de matériel technique. Cela permet de mieux comprendre le fonctionnement de l’organisation et de cerner comment votre appui peut réellement lui être utile, avant de s’engager dans un partenariat plus ambitieux. C’est particulièrement vrai lorsqu’on travaille avec de petites OPH ou des groupes d’entraide, qui se perçoivent d’abord comme faisant partie d’un mouvement social. Ces organisations de la base, quelle que soit leur forme, ne disposent pas toujours d’un statut légal ou de structures formelles comme c’est souvent le cas pour d’autres ONG. Cette souplesse leur permet de rester agiles et réactives face aux besoins de leurs membres. Dans ce contexte, le renforcement des capacités doit se faire en tenant compte des dynamiques de pouvoir. Il est essentiel de discuter avec les organisations ou les groupes concernés pour déterminer ce qui est réellement utile et acceptable pour toutes les parties. </w:t>
      </w:r>
    </w:p>
    <w:p w:rsidR="00000000" w:rsidDel="00000000" w:rsidP="00000000" w:rsidRDefault="00000000" w:rsidRPr="00000000" w14:paraId="00000118">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highlight w:val="white"/>
          <w:rtl w:val="0"/>
        </w:rPr>
        <w:t xml:space="preserve">Pour établir de véritables partenariats égalitaires, les programmes doivent investir du temps et offrir des formations afin que les personnes en situation de handicap disposent des compétences et des connaissances nécessaires pour participer à la conception, à l’analyse et à l’interprétation des données. Cela permet d’intégrer leurs préoccupations et leurs points de vue dans l’ensemble du processus. </w:t>
      </w:r>
      <w:r w:rsidDel="00000000" w:rsidR="00000000" w:rsidRPr="00000000">
        <w:rPr>
          <w:rtl w:val="0"/>
        </w:rPr>
      </w:r>
    </w:p>
    <w:p w:rsidR="00000000" w:rsidDel="00000000" w:rsidP="00000000" w:rsidRDefault="00000000" w:rsidRPr="00000000" w14:paraId="00000119">
      <w:pPr>
        <w:rPr>
          <w:rFonts w:ascii="Proxima Nova" w:cs="Proxima Nova" w:eastAsia="Proxima Nova" w:hAnsi="Proxima Nova"/>
          <w:b w:val="1"/>
          <w:bCs w:val="1"/>
          <w:sz w:val="22"/>
          <w:szCs w:val="22"/>
        </w:rPr>
      </w:pPr>
      <w:r w:rsidDel="00000000" w:rsidR="00000000" w:rsidRPr="00000000">
        <w:rPr>
          <w:rtl w:val="0"/>
        </w:rPr>
      </w:r>
    </w:p>
    <w:p w:rsidR="00000000" w:rsidDel="00000000" w:rsidP="00000000" w:rsidRDefault="00000000" w:rsidRPr="00000000" w14:paraId="0000011A">
      <w:pPr>
        <w:pStyle w:val="Heading4"/>
        <w:rPr/>
      </w:pPr>
      <w:bookmarkStart w:colFirst="0" w:colLast="0" w:name="_heading=h.gxq55tlb2nxl" w:id="13"/>
      <w:bookmarkEnd w:id="13"/>
      <w:r w:rsidDel="00000000" w:rsidR="00000000" w:rsidRPr="00000000">
        <w:rPr>
          <w:b w:val="1"/>
          <w:bCs w:val="1"/>
          <w:rtl w:val="0"/>
        </w:rPr>
        <w:t xml:space="preserve">Ressource supplémentaire :</w:t>
      </w:r>
      <w:r w:rsidDel="00000000" w:rsidR="00000000" w:rsidRPr="00000000">
        <w:rPr>
          <w:rtl w:val="0"/>
        </w:rPr>
        <w:t xml:space="preserve"> </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numPr>
          <w:ilvl w:val="0"/>
          <w:numId w:val="9"/>
        </w:numPr>
        <w:ind w:left="720" w:hanging="360"/>
        <w:rPr>
          <w:rFonts w:ascii="Proxima Nova" w:cs="Proxima Nova" w:eastAsia="Proxima Nova" w:hAnsi="Proxima Nova"/>
          <w:sz w:val="22"/>
          <w:szCs w:val="22"/>
        </w:rPr>
      </w:pPr>
      <w:hyperlink r:id="rId19">
        <w:r w:rsidDel="00000000" w:rsidR="00000000" w:rsidRPr="00000000">
          <w:rPr>
            <w:rFonts w:ascii="Proxima Nova" w:cs="Proxima Nova" w:eastAsia="Proxima Nova" w:hAnsi="Proxima Nova"/>
            <w:color w:val="3a4888"/>
            <w:sz w:val="22"/>
            <w:szCs w:val="22"/>
            <w:u w:val="single"/>
            <w:rtl w:val="0"/>
          </w:rPr>
          <w:t xml:space="preserve">Rapport de l’IDA sur la participation significative des OPH</w:t>
        </w:r>
      </w:hyperlink>
      <w:r w:rsidDel="00000000" w:rsidR="00000000" w:rsidRPr="00000000">
        <w:rPr>
          <w:rFonts w:ascii="Proxima Nova" w:cs="Proxima Nova" w:eastAsia="Proxima Nova" w:hAnsi="Proxima Nova"/>
          <w:sz w:val="22"/>
          <w:szCs w:val="22"/>
          <w:rtl w:val="0"/>
        </w:rPr>
        <w:t xml:space="preserve">. Il présente les raisons de s’associer aux OPH et de favoriser leur participation, ainsi que six recommandations clés. </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pStyle w:val="Heading2"/>
        <w:rPr/>
      </w:pPr>
      <w:bookmarkStart w:colFirst="0" w:colLast="0" w:name="_heading=h.f3kbaorlqkkp" w:id="14"/>
      <w:bookmarkEnd w:id="14"/>
      <w:r w:rsidDel="00000000" w:rsidR="00000000" w:rsidRPr="00000000">
        <w:rPr>
          <w:rtl w:val="0"/>
        </w:rPr>
        <w:t xml:space="preserve">Participation</w:t>
      </w:r>
      <w:r w:rsidDel="00000000" w:rsidR="00000000" w:rsidRPr="00000000">
        <w:rPr>
          <w:vertAlign w:val="superscript"/>
        </w:rPr>
        <w:footnoteReference w:customMarkFollows="0" w:id="4"/>
      </w:r>
      <w:r w:rsidDel="00000000" w:rsidR="00000000" w:rsidRPr="00000000">
        <w:rPr>
          <w:rtl w:val="0"/>
        </w:rPr>
      </w:r>
    </w:p>
    <w:p w:rsidR="00000000" w:rsidDel="00000000" w:rsidP="00000000" w:rsidRDefault="00000000" w:rsidRPr="00000000" w14:paraId="0000011F">
      <w:pPr>
        <w:rPr>
          <w:rFonts w:ascii="Proxima Nova" w:cs="Proxima Nova" w:eastAsia="Proxima Nova" w:hAnsi="Proxima Nova"/>
          <w:i w:val="1"/>
          <w:iCs w:val="1"/>
        </w:rPr>
      </w:pPr>
      <w:r w:rsidDel="00000000" w:rsidR="00000000" w:rsidRPr="00000000">
        <w:rPr>
          <w:rtl w:val="0"/>
        </w:rPr>
      </w:r>
    </w:p>
    <w:p w:rsidR="00000000" w:rsidDel="00000000" w:rsidP="00000000" w:rsidRDefault="00000000" w:rsidRPr="00000000" w14:paraId="00000120">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Le terme « </w:t>
      </w:r>
      <w:r w:rsidDel="00000000" w:rsidR="00000000" w:rsidRPr="00000000">
        <w:rPr>
          <w:rFonts w:ascii="Proxima Nova" w:cs="Proxima Nova" w:eastAsia="Proxima Nova" w:hAnsi="Proxima Nova"/>
          <w:b w:val="1"/>
          <w:bCs w:val="1"/>
          <w:sz w:val="22"/>
          <w:szCs w:val="22"/>
          <w:rtl w:val="0"/>
        </w:rPr>
        <w:t xml:space="preserve">participation significative</w:t>
      </w:r>
      <w:r w:rsidDel="00000000" w:rsidR="00000000" w:rsidRPr="00000000">
        <w:rPr>
          <w:rFonts w:ascii="Proxima Nova" w:cs="Proxima Nova" w:eastAsia="Proxima Nova" w:hAnsi="Proxima Nova"/>
          <w:i w:val="1"/>
          <w:iCs w:val="1"/>
          <w:sz w:val="22"/>
          <w:szCs w:val="22"/>
          <w:rtl w:val="0"/>
        </w:rPr>
        <w:t xml:space="preserve"> </w:t>
      </w:r>
      <w:r w:rsidDel="00000000" w:rsidR="00000000" w:rsidRPr="00000000">
        <w:rPr>
          <w:rFonts w:ascii="Proxima Nova" w:cs="Proxima Nova" w:eastAsia="Proxima Nova" w:hAnsi="Proxima Nova"/>
          <w:sz w:val="22"/>
          <w:szCs w:val="22"/>
          <w:rtl w:val="0"/>
        </w:rPr>
        <w:t xml:space="preserve">» est souvent utilisé, mais rarement bien défini. Il ne devrait pas se limiter à consulter les personnes en situation de handicap uniquement pour recueillir des informations sur leurs difficultés et leurs obstacles.</w:t>
      </w:r>
    </w:p>
    <w:p w:rsidR="00000000" w:rsidDel="00000000" w:rsidP="00000000" w:rsidRDefault="00000000" w:rsidRPr="00000000" w14:paraId="00000121">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22">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Les personnes en situation de handicap, en particulier les femmes et les filles, sont souvent exclues des processus de consultation, que ce soit de façon intentionnelle ou non. Pourtant, elles peuvent – et devraient – contribuer de manière significative à l’élaboration des stratégies dans tous les domaines d’intervention, à l’intégration de démarches inclusives dans les programmes, ainsi qu’au retour d’information et à l’évaluation des progrès réalisés (ou non).</w:t>
      </w:r>
    </w:p>
    <w:p w:rsidR="00000000" w:rsidDel="00000000" w:rsidP="00000000" w:rsidRDefault="00000000" w:rsidRPr="00000000" w14:paraId="00000123">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24">
      <w:pPr>
        <w:numPr>
          <w:ilvl w:val="0"/>
          <w:numId w:val="4"/>
        </w:numPr>
        <w:spacing w:line="252.00000000000003" w:lineRule="auto"/>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Veillez à ne pas regrouper les personnes en situation de handicap dans une seule catégorie, soit celle du « groupe vulnérable », car les expériences vécues varient selon qu’il s’agisse de filles, de garçons, de femmes, d’hommes ou de personnes non binaires. </w:t>
      </w:r>
    </w:p>
    <w:p w:rsidR="00000000" w:rsidDel="00000000" w:rsidP="00000000" w:rsidRDefault="00000000" w:rsidRPr="00000000" w14:paraId="00000125">
      <w:pPr>
        <w:spacing w:line="252.00000000000003" w:lineRule="auto"/>
        <w:ind w:left="720"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26">
      <w:pPr>
        <w:numPr>
          <w:ilvl w:val="0"/>
          <w:numId w:val="4"/>
        </w:numPr>
        <w:spacing w:line="252.00000000000003" w:lineRule="auto"/>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Cherchez à communiquer directement avec un large éventail d’OPH et de personnes en situation de handicap ainsi que leurs familles, afin d’explorer avec elles comment elles pourraient contribuer aux actions envisagées, que ce soit en tant que personnes engagées dans le plaidoyer à haut niveau, membres de groupes d’entraide ou d’OPH de proximité qui se concentrent sur les réalités du quotidien, ou jeunes souhaitant participer à des causes qui leur tiennent à cœur. La diversité des genres est très importante.</w:t>
      </w:r>
    </w:p>
    <w:p w:rsidR="00000000" w:rsidDel="00000000" w:rsidP="00000000" w:rsidRDefault="00000000" w:rsidRPr="00000000" w14:paraId="00000127">
      <w:pPr>
        <w:spacing w:line="252.00000000000003" w:lineRule="auto"/>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28">
      <w:pPr>
        <w:numPr>
          <w:ilvl w:val="0"/>
          <w:numId w:val="4"/>
        </w:numPr>
        <w:spacing w:line="252.00000000000003" w:lineRule="auto"/>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Sachez que de nombreuses personnes en situation de handicap, en particulier les filles et les jeunes femmes, ont été confrontées à de faibles attentes à leur égard, et qu’elles peuvent avoir intériorisé ces perceptions. Il pourrait être nécessaire d’agir sur le manque d’estime de soi et de confiance en soi en offrant des occasions concrètes, ainsi qu’un accompagnement adapté pour renforcer l’assurance et les compétences nécessaires à la participation.</w:t>
      </w:r>
    </w:p>
    <w:p w:rsidR="00000000" w:rsidDel="00000000" w:rsidP="00000000" w:rsidRDefault="00000000" w:rsidRPr="00000000" w14:paraId="00000129">
      <w:pPr>
        <w:spacing w:line="252.00000000000003" w:lineRule="auto"/>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2A">
      <w:pPr>
        <w:numPr>
          <w:ilvl w:val="0"/>
          <w:numId w:val="4"/>
        </w:numPr>
        <w:spacing w:line="252.00000000000003" w:lineRule="auto"/>
        <w:ind w:left="720" w:hanging="36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Dans la mesure du possible, inclure un large éventail de personnes en situation de handicap dans les activités de sensibilisation. Les organisations de personnes en situation de handicap, dont celles dirigées par des femmes, ainsi que les activistes en situation de handicap devraient mener les campagnes de sensibilisation et offrir des formations sur l’inclusion des personnes en situation de handicap, en intégrant une perspective de genre et d’âge, à l’intention des instances gouvernementales, des organismes non gouvernementaux, des communautés et du secteur privé. Elles peuvent contribuer à la formation des enquêteur·trices dans divers processus de collecte de données et/ou y participer directement en tant qu’enquêteur·trices ou animateur·trices. Leur participation devrait également être assurée dans les consultations communautaires, les évaluations rapides, l’éducation par les pairs et d’autres types d’activités. </w:t>
      </w:r>
    </w:p>
    <w:p w:rsidR="00000000" w:rsidDel="00000000" w:rsidP="00000000" w:rsidRDefault="00000000" w:rsidRPr="00000000" w14:paraId="0000012B">
      <w:pPr>
        <w:spacing w:line="252.00000000000003" w:lineRule="auto"/>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2C">
      <w:pPr>
        <w:numPr>
          <w:ilvl w:val="0"/>
          <w:numId w:val="4"/>
        </w:numPr>
        <w:spacing w:line="252.00000000000003" w:lineRule="auto"/>
        <w:ind w:left="720" w:hanging="360"/>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sz w:val="22"/>
          <w:szCs w:val="22"/>
          <w:rtl w:val="0"/>
        </w:rPr>
        <w:t xml:space="preserve">Évitez de ne créer que des événements ou des réunions séparés pour les personnes en situation de handicap, sauf lorsqu’il s’agit, par exemple, de travailler sur le renforcement de l’estime de soi. Veiller à ce que tous les événements soient accessibles et véritablement inclusifs.</w:t>
      </w:r>
      <w:r w:rsidDel="00000000" w:rsidR="00000000" w:rsidRPr="00000000">
        <w:rPr>
          <w:rtl w:val="0"/>
        </w:rPr>
      </w:r>
    </w:p>
    <w:sectPr>
      <w:headerReference r:id="rId20" w:type="default"/>
      <w:headerReference r:id="rId21" w:type="first"/>
      <w:footerReference r:id="rId22" w:type="default"/>
      <w:footerReference r:id="rId23" w:type="first"/>
      <w:pgSz w:h="15840" w:w="12240" w:orient="portrait"/>
      <w:pgMar w:bottom="1440" w:top="1080" w:left="1080" w:right="1080" w:header="709" w:footer="431.999999999999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Apto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rFonts w:ascii="Arial" w:cs="Arial" w:eastAsia="Arial" w:hAnsi="Arial"/>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1">
    <w:pPr>
      <w:ind w:left="90" w:right="180" w:firstLine="0"/>
      <w:rPr>
        <w:rFonts w:ascii="Arial" w:cs="Arial" w:eastAsia="Arial" w:hAnsi="Arial"/>
        <w:b w:val="1"/>
        <w:bCs w:val="1"/>
        <w:sz w:val="18"/>
        <w:szCs w:val="18"/>
      </w:rPr>
    </w:pPr>
    <w:r w:rsidDel="00000000" w:rsidR="00000000" w:rsidRPr="00000000">
      <w:rPr>
        <w:rFonts w:ascii="Arial" w:cs="Arial" w:eastAsia="Arial" w:hAnsi="Arial"/>
        <w:b w:val="1"/>
        <w:bCs w:val="1"/>
        <w:i w:val="1"/>
        <w:iCs w:val="1"/>
        <w:sz w:val="18"/>
        <w:szCs w:val="18"/>
        <w:rtl w:val="0"/>
      </w:rPr>
      <w:t xml:space="preserve">Webinaire 2 : Piliers de l’inclusion des personnes en situation de handicap                                                                </w:t>
    </w:r>
    <w:r w:rsidDel="00000000" w:rsidR="00000000" w:rsidRPr="00000000">
      <w:rPr>
        <w:rFonts w:ascii="Arial" w:cs="Arial" w:eastAsia="Arial" w:hAnsi="Arial"/>
        <w:b w:val="1"/>
        <w:bCs w:val="1"/>
        <w:i w:val="1"/>
        <w:iCs w:val="1"/>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4">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2"/>
          <w:szCs w:val="12"/>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sz w:val="16"/>
          <w:szCs w:val="16"/>
          <w:rtl w:val="0"/>
        </w:rPr>
        <w:t xml:space="preserve">Adaptation des ressources de la formation d’Andrea K.</w:t>
      </w:r>
      <w:r w:rsidDel="00000000" w:rsidR="00000000" w:rsidRPr="00000000">
        <w:rPr>
          <w:rtl w:val="0"/>
        </w:rPr>
      </w:r>
    </w:p>
  </w:footnote>
  <w:footnote w:id="1">
    <w:p w:rsidR="00000000" w:rsidDel="00000000" w:rsidP="00000000" w:rsidRDefault="00000000" w:rsidRPr="00000000" w14:paraId="00000134">
      <w:pPr>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0563c1"/>
            <w:sz w:val="16"/>
            <w:szCs w:val="16"/>
            <w:u w:val="single"/>
            <w:rtl w:val="0"/>
          </w:rPr>
          <w:t xml:space="preserve">https://www.un.org/development/desa/disabilities/convention-on-the-rights-of-persons-with-disabilities/article-2-definitions.html</w:t>
        </w:r>
      </w:hyperlink>
      <w:r w:rsidDel="00000000" w:rsidR="00000000" w:rsidRPr="00000000">
        <w:rPr>
          <w:sz w:val="16"/>
          <w:szCs w:val="16"/>
          <w:rtl w:val="0"/>
        </w:rPr>
        <w:t xml:space="preserve"> et </w:t>
      </w:r>
      <w:hyperlink r:id="rId2">
        <w:r w:rsidDel="00000000" w:rsidR="00000000" w:rsidRPr="00000000">
          <w:rPr>
            <w:color w:val="0563c1"/>
            <w:sz w:val="16"/>
            <w:szCs w:val="16"/>
            <w:u w:val="single"/>
            <w:rtl w:val="0"/>
          </w:rPr>
          <w:t xml:space="preserve">https://universaldesign.ie/about-universal-design</w:t>
        </w:r>
      </w:hyperlink>
      <w:r w:rsidDel="00000000" w:rsidR="00000000" w:rsidRPr="00000000">
        <w:rPr>
          <w:rtl w:val="0"/>
        </w:rPr>
      </w:r>
    </w:p>
  </w:footnote>
  <w:footnote w:id="0">
    <w:p w:rsidR="00000000" w:rsidDel="00000000" w:rsidP="00000000" w:rsidRDefault="00000000" w:rsidRPr="00000000" w14:paraId="00000135">
      <w:pPr>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Adaptation de la formation d’Andrae K. et Coe S. Ressources et références fournies tout au long du document.</w:t>
      </w:r>
    </w:p>
  </w:footnote>
  <w:footnote w:id="2">
    <w:p w:rsidR="00000000" w:rsidDel="00000000" w:rsidP="00000000" w:rsidRDefault="00000000" w:rsidRPr="00000000" w14:paraId="0000013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Adaptation des ressources de la formation d’Andrea K</w:t>
      </w:r>
      <w:r w:rsidDel="00000000" w:rsidR="00000000" w:rsidRPr="00000000">
        <w:rPr>
          <w:sz w:val="18"/>
          <w:szCs w:val="18"/>
          <w:rtl w:val="0"/>
        </w:rPr>
        <w:t xml:space="preserve">.</w:t>
      </w:r>
      <w:r w:rsidDel="00000000" w:rsidR="00000000" w:rsidRPr="00000000">
        <w:rPr>
          <w:rtl w:val="0"/>
        </w:rPr>
      </w:r>
    </w:p>
  </w:footnote>
  <w:footnote w:id="3">
    <w:p w:rsidR="00000000" w:rsidDel="00000000" w:rsidP="00000000" w:rsidRDefault="00000000" w:rsidRPr="00000000" w14:paraId="0000013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Adaptation de Coe S. et Wapling L. </w:t>
      </w:r>
      <w:r w:rsidDel="00000000" w:rsidR="00000000" w:rsidRPr="00000000">
        <w:rPr>
          <w:i w:val="1"/>
          <w:iCs w:val="1"/>
          <w:sz w:val="16"/>
          <w:szCs w:val="16"/>
          <w:rtl w:val="0"/>
        </w:rPr>
        <w:t xml:space="preserve">Travelling Together</w:t>
      </w:r>
      <w:r w:rsidDel="00000000" w:rsidR="00000000" w:rsidRPr="00000000">
        <w:rPr>
          <w:sz w:val="16"/>
          <w:szCs w:val="16"/>
          <w:rtl w:val="0"/>
        </w:rPr>
        <w:t xml:space="preserve">, World Vision International, 2022, et de la formation d’Andrae K. et Coe S</w:t>
      </w:r>
      <w:r w:rsidDel="00000000" w:rsidR="00000000" w:rsidRPr="00000000">
        <w:rPr>
          <w:sz w:val="18"/>
          <w:szCs w:val="18"/>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-242885</wp:posOffset>
              </wp:positionH>
              <wp:positionV relativeFrom="page">
                <wp:posOffset>-16508</wp:posOffset>
              </wp:positionV>
              <wp:extent cx="8258175" cy="1155772"/>
              <wp:effectExtent b="0" l="0" r="0" t="0"/>
              <wp:wrapNone/>
              <wp:docPr id="2060985743" name=""/>
              <a:graphic>
                <a:graphicData uri="http://schemas.microsoft.com/office/word/2010/wordprocessingGroup">
                  <wpg:wgp>
                    <wpg:cNvGrpSpPr/>
                    <wpg:grpSpPr>
                      <a:xfrm>
                        <a:off x="1052025" y="3192825"/>
                        <a:ext cx="8258175" cy="1155772"/>
                        <a:chOff x="1052025" y="3192825"/>
                        <a:chExt cx="8423075" cy="1170500"/>
                      </a:xfrm>
                    </wpg:grpSpPr>
                    <wpg:grpSp>
                      <wpg:cNvGrpSpPr/>
                      <wpg:grpSpPr>
                        <a:xfrm>
                          <a:off x="1056800" y="3196692"/>
                          <a:ext cx="8418288" cy="1166616"/>
                          <a:chOff x="-159400" y="0"/>
                          <a:chExt cx="8380775" cy="1146575"/>
                        </a:xfrm>
                      </wpg:grpSpPr>
                      <wps:wsp>
                        <wps:cNvSpPr/>
                        <wps:cNvPr id="27" name="Shape 27"/>
                        <wps:spPr>
                          <a:xfrm>
                            <a:off x="0" y="0"/>
                            <a:ext cx="8221375" cy="1146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159400" y="900"/>
                            <a:ext cx="8376000" cy="1140900"/>
                          </a:xfrm>
                          <a:prstGeom prst="rect">
                            <a:avLst/>
                          </a:prstGeom>
                          <a:solidFill>
                            <a:srgbClr val="491A36"/>
                          </a:solidFill>
                          <a:ln cap="flat" cmpd="sng" w="9525">
                            <a:solidFill>
                              <a:srgbClr val="491A3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g:grpSp>
                    <pic:pic>
                      <pic:nvPicPr>
                        <pic:cNvPr id="29" name="Shape 29" title="CanWaCH-Logo_BIL-FRE-Horizontal-White-WEB.png"/>
                        <pic:cNvPicPr preferRelativeResize="0"/>
                      </pic:nvPicPr>
                      <pic:blipFill>
                        <a:blip r:embed="rId1">
                          <a:alphaModFix/>
                        </a:blip>
                        <a:stretch>
                          <a:fillRect/>
                        </a:stretch>
                      </pic:blipFill>
                      <pic:spPr>
                        <a:xfrm>
                          <a:off x="3289388" y="3457163"/>
                          <a:ext cx="3953276" cy="645700"/>
                        </a:xfrm>
                        <a:prstGeom prst="rect">
                          <a:avLst/>
                        </a:prstGeom>
                        <a:noFill/>
                        <a:ln>
                          <a:noFill/>
                        </a:ln>
                      </pic:spPr>
                    </pic:pic>
                  </wpg:wgp>
                </a:graphicData>
              </a:graphic>
            </wp:anchor>
          </w:drawing>
        </mc:Choice>
        <mc:Fallback>
          <w:drawing>
            <wp:anchor allowOverlap="1" behindDoc="1" distB="0" distT="0" distL="0" distR="0" hidden="0" layoutInCell="1" locked="0" relativeHeight="0" simplePos="0">
              <wp:simplePos x="0" y="0"/>
              <wp:positionH relativeFrom="page">
                <wp:posOffset>-242885</wp:posOffset>
              </wp:positionH>
              <wp:positionV relativeFrom="page">
                <wp:posOffset>-16508</wp:posOffset>
              </wp:positionV>
              <wp:extent cx="8258175" cy="1155772"/>
              <wp:effectExtent b="0" l="0" r="0" t="0"/>
              <wp:wrapNone/>
              <wp:docPr id="2060985743"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8258175" cy="1155772"/>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Letter"/>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000000" w:space="2" w:sz="8" w:val="single"/>
      </w:pBdr>
      <w:spacing w:after="80" w:before="360" w:lineRule="auto"/>
    </w:pPr>
    <w:rPr>
      <w:rFonts w:ascii="Arial" w:cs="Arial" w:eastAsia="Arial" w:hAnsi="Arial"/>
      <w:b w:val="1"/>
      <w:bCs w:val="1"/>
      <w:color w:val="491a36"/>
      <w:sz w:val="32"/>
      <w:szCs w:val="32"/>
    </w:rPr>
  </w:style>
  <w:style w:type="paragraph" w:styleId="Heading2">
    <w:name w:val="heading 2"/>
    <w:basedOn w:val="Normal"/>
    <w:next w:val="Normal"/>
    <w:pPr>
      <w:keepNext w:val="1"/>
      <w:keepLines w:val="1"/>
      <w:pBdr>
        <w:bottom w:color="3a4888" w:space="2" w:sz="8" w:val="single"/>
      </w:pBdr>
      <w:spacing w:after="120" w:before="360" w:lineRule="auto"/>
    </w:pPr>
    <w:rPr>
      <w:rFonts w:ascii="Arial" w:cs="Arial" w:eastAsia="Arial" w:hAnsi="Arial"/>
      <w:b w:val="1"/>
      <w:bCs w:val="1"/>
      <w:color w:val="3a4888"/>
      <w:sz w:val="28"/>
      <w:szCs w:val="28"/>
    </w:rPr>
  </w:style>
  <w:style w:type="paragraph" w:styleId="Heading3">
    <w:name w:val="heading 3"/>
    <w:basedOn w:val="Normal"/>
    <w:next w:val="Normal"/>
    <w:pPr>
      <w:keepNext w:val="1"/>
      <w:keepLines w:val="1"/>
      <w:spacing w:after="80" w:before="160" w:lineRule="auto"/>
    </w:pPr>
    <w:rPr>
      <w:rFonts w:ascii="Proxima Nova" w:cs="Proxima Nova" w:eastAsia="Proxima Nova" w:hAnsi="Proxima Nova"/>
      <w:b w:val="1"/>
      <w:bCs w:val="1"/>
      <w:color w:val="993365"/>
      <w:sz w:val="28"/>
      <w:szCs w:val="28"/>
    </w:rPr>
  </w:style>
  <w:style w:type="paragraph" w:styleId="Heading4">
    <w:name w:val="heading 4"/>
    <w:basedOn w:val="Normal"/>
    <w:next w:val="Normal"/>
    <w:pPr>
      <w:keepNext w:val="1"/>
      <w:keepLines w:val="1"/>
    </w:pPr>
    <w:rPr>
      <w:rFonts w:ascii="Arial" w:cs="Arial" w:eastAsia="Arial" w:hAnsi="Arial"/>
      <w:b w:val="1"/>
      <w:bCs w:val="1"/>
      <w:i w:val="1"/>
      <w:iCs w:val="1"/>
      <w:color w:val="63763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rsid w:val="003A40AA"/>
    <w:pPr>
      <w:ind w:left="720"/>
      <w:contextualSpacing w:val="1"/>
    </w:pPr>
  </w:style>
  <w:style w:type="character" w:styleId="CommentReference">
    <w:name w:val="annotation reference"/>
    <w:basedOn w:val="DefaultParagraphFont"/>
    <w:uiPriority w:val="99"/>
    <w:semiHidden w:val="1"/>
    <w:unhideWhenUsed w:val="1"/>
    <w:rsid w:val="003F126F"/>
    <w:rPr>
      <w:sz w:val="16"/>
      <w:szCs w:val="16"/>
    </w:rPr>
  </w:style>
  <w:style w:type="paragraph" w:styleId="CommentText">
    <w:name w:val="annotation text"/>
    <w:basedOn w:val="Normal"/>
    <w:link w:val="CommentTextChar"/>
    <w:uiPriority w:val="99"/>
    <w:unhideWhenUsed w:val="1"/>
    <w:rsid w:val="003F126F"/>
    <w:rPr>
      <w:sz w:val="20"/>
      <w:szCs w:val="20"/>
    </w:rPr>
  </w:style>
  <w:style w:type="character" w:styleId="CommentTextChar" w:customStyle="1">
    <w:name w:val="Comment Text Char"/>
    <w:basedOn w:val="DefaultParagraphFont"/>
    <w:link w:val="CommentText"/>
    <w:uiPriority w:val="99"/>
    <w:rsid w:val="003F126F"/>
    <w:rPr>
      <w:sz w:val="20"/>
      <w:szCs w:val="20"/>
    </w:rPr>
  </w:style>
  <w:style w:type="paragraph" w:styleId="CommentSubject">
    <w:name w:val="annotation subject"/>
    <w:basedOn w:val="CommentText"/>
    <w:next w:val="CommentText"/>
    <w:link w:val="CommentSubjectChar"/>
    <w:uiPriority w:val="99"/>
    <w:semiHidden w:val="1"/>
    <w:unhideWhenUsed w:val="1"/>
    <w:rsid w:val="003F126F"/>
    <w:rPr>
      <w:b w:val="1"/>
      <w:bCs w:val="1"/>
    </w:rPr>
  </w:style>
  <w:style w:type="character" w:styleId="CommentSubjectChar" w:customStyle="1">
    <w:name w:val="Comment Subject Char"/>
    <w:basedOn w:val="CommentTextChar"/>
    <w:link w:val="CommentSubject"/>
    <w:uiPriority w:val="99"/>
    <w:semiHidden w:val="1"/>
    <w:rsid w:val="003F126F"/>
    <w:rPr>
      <w:b w:val="1"/>
      <w:bCs w:val="1"/>
      <w:sz w:val="20"/>
      <w:szCs w:val="20"/>
    </w:rPr>
  </w:style>
  <w:style w:type="paragraph" w:styleId="FootnoteText">
    <w:name w:val="footnote text"/>
    <w:basedOn w:val="Normal"/>
    <w:link w:val="FootnoteTextChar"/>
    <w:uiPriority w:val="99"/>
    <w:semiHidden w:val="1"/>
    <w:unhideWhenUsed w:val="1"/>
    <w:rsid w:val="00902D48"/>
    <w:rPr>
      <w:sz w:val="20"/>
      <w:szCs w:val="20"/>
    </w:rPr>
  </w:style>
  <w:style w:type="character" w:styleId="FootnoteTextChar" w:customStyle="1">
    <w:name w:val="Footnote Text Char"/>
    <w:basedOn w:val="DefaultParagraphFont"/>
    <w:link w:val="FootnoteText"/>
    <w:uiPriority w:val="99"/>
    <w:semiHidden w:val="1"/>
    <w:rsid w:val="00902D48"/>
    <w:rPr>
      <w:sz w:val="20"/>
      <w:szCs w:val="20"/>
    </w:rPr>
  </w:style>
  <w:style w:type="character" w:styleId="FootnoteReference">
    <w:name w:val="footnote reference"/>
    <w:basedOn w:val="DefaultParagraphFont"/>
    <w:uiPriority w:val="99"/>
    <w:semiHidden w:val="1"/>
    <w:unhideWhenUsed w:val="1"/>
    <w:rsid w:val="00902D48"/>
    <w:rPr>
      <w:vertAlign w:val="superscript"/>
    </w:rPr>
  </w:style>
  <w:style w:type="character" w:styleId="Heading3Char" w:customStyle="1">
    <w:name w:val="Heading 3 Char"/>
    <w:basedOn w:val="DefaultParagraphFont"/>
    <w:link w:val="Heading3"/>
    <w:uiPriority w:val="9"/>
    <w:rsid w:val="00636745"/>
    <w:rPr>
      <w:rFonts w:cstheme="majorBidi" w:eastAsiaTheme="majorEastAsia"/>
      <w:color w:val="2f5496" w:themeColor="accent1" w:themeShade="0000BF"/>
      <w:kern w:val="2"/>
      <w:sz w:val="28"/>
      <w:szCs w:val="28"/>
    </w:rPr>
  </w:style>
  <w:style w:type="character" w:styleId="Hyperlink">
    <w:name w:val="Hyperlink"/>
    <w:basedOn w:val="DefaultParagraphFont"/>
    <w:uiPriority w:val="99"/>
    <w:unhideWhenUsed w:val="1"/>
    <w:rsid w:val="00636745"/>
    <w:rPr>
      <w:color w:val="0563c1" w:themeColor="hyperlink"/>
      <w:u w:val="single"/>
    </w:rPr>
  </w:style>
  <w:style w:type="paragraph" w:styleId="NormalWeb">
    <w:name w:val="Normal (Web)"/>
    <w:basedOn w:val="Normal"/>
    <w:uiPriority w:val="99"/>
    <w:unhideWhenUsed w:val="1"/>
    <w:rsid w:val="00636745"/>
    <w:pPr>
      <w:spacing w:after="100" w:afterAutospacing="1" w:before="100" w:beforeAutospacing="1"/>
    </w:pPr>
    <w:rPr>
      <w:rFonts w:ascii="Times New Roman" w:cs="Times New Roman" w:eastAsia="Times New Roman" w:hAnsi="Times New Roman"/>
      <w:lang w:eastAsia="en-GB"/>
    </w:rPr>
  </w:style>
  <w:style w:type="character" w:styleId="ListParagraphChar" w:customStyle="1">
    <w:name w:val="List Paragraph Char"/>
    <w:link w:val="ListParagraph"/>
    <w:uiPriority w:val="34"/>
    <w:locked w:val="1"/>
    <w:rsid w:val="00636745"/>
  </w:style>
  <w:style w:type="character" w:styleId="FollowedHyperlink">
    <w:name w:val="FollowedHyperlink"/>
    <w:basedOn w:val="DefaultParagraphFont"/>
    <w:uiPriority w:val="99"/>
    <w:semiHidden w:val="1"/>
    <w:unhideWhenUsed w:val="1"/>
    <w:rsid w:val="00A44E80"/>
    <w:rPr>
      <w:color w:val="954f72" w:themeColor="followedHyperlink"/>
      <w:u w:val="single"/>
    </w:rPr>
  </w:style>
  <w:style w:type="character" w:styleId="UnresolvedMention">
    <w:name w:val="Unresolved Mention"/>
    <w:basedOn w:val="DefaultParagraphFont"/>
    <w:uiPriority w:val="99"/>
    <w:semiHidden w:val="1"/>
    <w:unhideWhenUsed w:val="1"/>
    <w:rsid w:val="003157AB"/>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unhcr.org/62962a0a4.pdf" TargetMode="External"/><Relationship Id="rId22" Type="http://schemas.openxmlformats.org/officeDocument/2006/relationships/footer" Target="footer1.xml"/><Relationship Id="rId10" Type="http://schemas.openxmlformats.org/officeDocument/2006/relationships/hyperlink" Target="about:blank" TargetMode="External"/><Relationship Id="rId21" Type="http://schemas.openxmlformats.org/officeDocument/2006/relationships/header" Target="header2.xml"/><Relationship Id="rId13" Type="http://schemas.openxmlformats.org/officeDocument/2006/relationships/hyperlink" Target="https://www.washingtongroup-disability.com/question-sets/" TargetMode="External"/><Relationship Id="rId12" Type="http://schemas.openxmlformats.org/officeDocument/2006/relationships/hyperlink" Target="https://www.washingtongroup-disability.com/question-sets/"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bmg.wpengine.com/wp-content/uploads/2021/07/Accessibility-GO-A-Guide-to-Action-WBU-CBM-Global.pdf" TargetMode="External"/><Relationship Id="rId15" Type="http://schemas.openxmlformats.org/officeDocument/2006/relationships/hyperlink" Target="https://www.humanity-inclusion.org.uk/sn_uploads/document/2019-03-comment-poser-les-WGQs-FR.pdf" TargetMode="External"/><Relationship Id="rId14" Type="http://schemas.openxmlformats.org/officeDocument/2006/relationships/hyperlink" Target="https://cbm-global.org/wp-content/uploads/2023/06/CBM-Global-Washington-Group-Question-learning-brief-FINAL-2023.pdf" TargetMode="External"/><Relationship Id="rId17" Type="http://schemas.openxmlformats.org/officeDocument/2006/relationships/hyperlink" Target="https://www.unicef.org/media/126491/file/General-Suggestions-for-Disability-SITANS.pdf" TargetMode="External"/><Relationship Id="rId16" Type="http://schemas.openxmlformats.org/officeDocument/2006/relationships/hyperlink" Target="https://assets.publishing.service.gov.uk/media/5b6973b4ed915d2bc3eac79f/Disability-Measurement-Monitoring-Washington-Group-_Disability-Questions-easy-read.pdf" TargetMode="External"/><Relationship Id="rId5" Type="http://schemas.openxmlformats.org/officeDocument/2006/relationships/numbering" Target="numbering.xml"/><Relationship Id="rId19" Type="http://schemas.openxmlformats.org/officeDocument/2006/relationships/hyperlink" Target="https://www.internationaldisabilityalliance.org/sites/default/files/ida_global_survey_2022_final.pdf" TargetMode="External"/><Relationship Id="rId6" Type="http://schemas.openxmlformats.org/officeDocument/2006/relationships/styles" Target="styles.xml"/><Relationship Id="rId18" Type="http://schemas.openxmlformats.org/officeDocument/2006/relationships/hyperlink" Target="https://esaro.unfpa.org/sites/default/files/pub-pdf/Situational%20Analysis%20SRHR%20YPWD%20ESA_FINAL_0.pdf" TargetMode="External"/><Relationship Id="rId7" Type="http://schemas.openxmlformats.org/officeDocument/2006/relationships/customXml" Target="../customXML/item1.xml"/><Relationship Id="rId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un.org/development/desa/disabilities/convention-on-the-rights-of-persons-with-disabilities/article-2-definitions.html" TargetMode="External"/><Relationship Id="rId2" Type="http://schemas.openxmlformats.org/officeDocument/2006/relationships/hyperlink" Target="https://universaldesign.ie/about-universal-desig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5kmSRzF039B+vmmD6+yXgFJOXw==">CgMxLjAyDmguZDR2ZTQxczh2OGUwMg5oLjVqdGttemhydXJzNjIOaC51bWoyNGxlYnFxcjEyDmguZnhxaHJ3bHNjOWxzMg5oLnU4Mm90bnFndXZ0NzIOaC40c3c3OGxhOTc3dW8yDmguZmQ5NXp3c3Q2YmJlMg5oLmNrMnR1cXEzd2xjajIOaC54cTRhdHFqOHBrcXgyDmguNnozMGs0ZmZybHlsMg5oLm9uMmtqbDh3d2NlcTIOaC50cG9tbm9sejlkcDMyDmgubDFpc3N3YnN5cWZwMg5oLmd4cTU1dGxiMm54bDIOaC5mM2tiYW9ybHFra3A4AHIhMUVUMVJHeGw1NVQtV1FJRHVPUm9VNUlRT1YxQnlqek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2025-04-15T14:38:00Z</dcterms:created>
  <dc:creator>sue.coe@associate.humentum.org</dc:creator>
</cp:coreProperties>
</file>